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820E4" w:rsidR="00F316AA" w:rsidP="005820E4" w:rsidRDefault="007E72BB" w14:paraId="53E4AB6B" w14:textId="610BC4F1">
      <w:pPr>
        <w:pStyle w:val="SectionHeading"/>
      </w:pPr>
      <w:r w:rsidR="7CA03A04">
        <w:rPr/>
        <w:t>Fair Usage Protocol</w:t>
      </w:r>
      <w:r w:rsidR="60A221B5">
        <w:rPr/>
        <w:t xml:space="preserve"> 2026-27</w:t>
      </w:r>
    </w:p>
    <w:p w:rsidR="00FC299E" w:rsidP="007E72BB" w:rsidRDefault="00FC391F" w14:paraId="34DD7532" w14:textId="4B026C1D">
      <w:pPr>
        <w:pStyle w:val="Body"/>
      </w:pPr>
      <w:r>
        <w:t>To ensure Student Groups</w:t>
      </w:r>
      <w:r w:rsidR="0046247A">
        <w:t xml:space="preserve"> and elected representatives</w:t>
      </w:r>
      <w:r>
        <w:t xml:space="preserve"> have fair access to booking rooms on campus the Students’ Union operates a Fair Usage Protocol. This protocol applies to both Students’ Union and </w:t>
      </w:r>
      <w:r w:rsidR="00C55B7E">
        <w:t>U</w:t>
      </w:r>
      <w:r>
        <w:t>niversity bookable rooms, except for</w:t>
      </w:r>
      <w:r w:rsidR="32EADFC6">
        <w:t xml:space="preserve"> the following</w:t>
      </w:r>
      <w:r>
        <w:t xml:space="preserve"> rooms which have their own individual booking processes</w:t>
      </w:r>
      <w:r w:rsidR="7F2BA5AA">
        <w:t xml:space="preserve"> </w:t>
      </w:r>
      <w:r w:rsidR="006B0CD5">
        <w:t>including but not limited to:</w:t>
      </w:r>
      <w:r>
        <w:t xml:space="preserve"> </w:t>
      </w:r>
    </w:p>
    <w:p w:rsidR="00FC299E" w:rsidP="7A2086C8" w:rsidRDefault="00FC299E" w14:paraId="40FF8157" w14:textId="399A2979">
      <w:pPr>
        <w:pStyle w:val="Bullets"/>
        <w:spacing w:after="0"/>
      </w:pPr>
      <w:r>
        <w:t>Laird Hall</w:t>
      </w:r>
    </w:p>
    <w:p w:rsidR="00FC299E" w:rsidP="7A2086C8" w:rsidRDefault="00FC299E" w14:paraId="3117771C" w14:textId="13E71788">
      <w:pPr>
        <w:pStyle w:val="Bullets"/>
        <w:spacing w:after="0"/>
      </w:pPr>
      <w:r>
        <w:t>Drapers Lounge</w:t>
      </w:r>
    </w:p>
    <w:p w:rsidR="00FC299E" w:rsidP="7A2086C8" w:rsidRDefault="00FC299E" w14:paraId="45D6146B" w14:textId="79AEEBA2">
      <w:pPr>
        <w:pStyle w:val="Bullets"/>
        <w:spacing w:after="0"/>
      </w:pPr>
      <w:r>
        <w:t>The Griff Inn</w:t>
      </w:r>
    </w:p>
    <w:p w:rsidR="00FC299E" w:rsidP="7A2086C8" w:rsidRDefault="00FC299E" w14:paraId="045DA8CD" w14:textId="3B9D0508">
      <w:pPr>
        <w:pStyle w:val="Bullets"/>
        <w:spacing w:after="0"/>
      </w:pPr>
      <w:r>
        <w:t>Ground Café</w:t>
      </w:r>
    </w:p>
    <w:p w:rsidR="00FC299E" w:rsidP="7A2086C8" w:rsidRDefault="00FC299E" w14:paraId="75C7F79C" w14:textId="3A91A0E5">
      <w:pPr>
        <w:pStyle w:val="Bullets"/>
        <w:spacing w:after="0"/>
      </w:pPr>
      <w:r>
        <w:t>Qmotion studios and Sports Hall</w:t>
      </w:r>
    </w:p>
    <w:p w:rsidR="00FC299E" w:rsidP="7A2086C8" w:rsidRDefault="00FC299E" w14:paraId="5B28E227" w14:textId="6D205325">
      <w:pPr>
        <w:pStyle w:val="Bullets"/>
        <w:spacing w:after="0"/>
      </w:pPr>
      <w:r>
        <w:t>The Great Hall</w:t>
      </w:r>
    </w:p>
    <w:p w:rsidR="00FC299E" w:rsidP="7A2086C8" w:rsidRDefault="00FC299E" w14:paraId="2A181685" w14:textId="5A32183B">
      <w:pPr>
        <w:pStyle w:val="Bullets"/>
        <w:spacing w:after="0"/>
      </w:pPr>
      <w:r>
        <w:t>The Octagon</w:t>
      </w:r>
    </w:p>
    <w:p w:rsidR="00D86EBE" w:rsidP="00D86EBE" w:rsidRDefault="00D86EBE" w14:paraId="0FE5C74E" w14:textId="009787E4">
      <w:pPr>
        <w:pStyle w:val="Heading"/>
      </w:pPr>
      <w:r>
        <w:t>Fair Usage</w:t>
      </w:r>
    </w:p>
    <w:p w:rsidR="00535EF9" w:rsidP="001C02BF" w:rsidRDefault="00735463" w14:paraId="49E6EA8E" w14:textId="33A1AFF2">
      <w:pPr>
        <w:pStyle w:val="Body"/>
      </w:pPr>
      <w:r>
        <w:t>A ro</w:t>
      </w:r>
      <w:r w:rsidR="00C5732B">
        <w:t>om</w:t>
      </w:r>
      <w:r w:rsidR="001C02BF">
        <w:t xml:space="preserve"> can </w:t>
      </w:r>
      <w:r w:rsidR="00FC299E">
        <w:t xml:space="preserve">be </w:t>
      </w:r>
      <w:r w:rsidR="001C02BF">
        <w:t>book</w:t>
      </w:r>
      <w:r w:rsidR="00C5732B">
        <w:t>ed for</w:t>
      </w:r>
      <w:r w:rsidR="001C02BF">
        <w:t xml:space="preserve"> a maximum of two hours a fortnight across all bookable Students’ Union rooms and a maximum of one booking a week across </w:t>
      </w:r>
      <w:r w:rsidR="007F4AF2">
        <w:t>U</w:t>
      </w:r>
      <w:r w:rsidR="00C55B7E">
        <w:t>niversity</w:t>
      </w:r>
      <w:r w:rsidR="001C02BF">
        <w:t xml:space="preserve"> bookable rooms</w:t>
      </w:r>
      <w:r w:rsidR="00A032D6">
        <w:t xml:space="preserve"> which includes 4 pre-allocated </w:t>
      </w:r>
      <w:r w:rsidR="00C55B7E">
        <w:t>U</w:t>
      </w:r>
      <w:r w:rsidR="00A032D6">
        <w:t>niversity rooms</w:t>
      </w:r>
      <w:r w:rsidR="001C02BF">
        <w:t xml:space="preserve">. Additional bookings and/or block or recurring bookings may be requested in both Students’ Union and University bookable rooms. These bookings will be accommodated wherever possible but cannot be guaranteed. Student Groups </w:t>
      </w:r>
      <w:r w:rsidR="00C5732B">
        <w:t xml:space="preserve">and representatives </w:t>
      </w:r>
      <w:r w:rsidR="001C02BF">
        <w:t xml:space="preserve">may be asked to justify why additional bookings are required. </w:t>
      </w:r>
    </w:p>
    <w:p w:rsidR="00535EF9" w:rsidP="001C02BF" w:rsidRDefault="00535EF9" w14:paraId="46FF40BA" w14:textId="349A89BC">
      <w:pPr>
        <w:pStyle w:val="Body"/>
      </w:pPr>
      <w:r>
        <w:rPr>
          <w:lang w:bidi="hi-IN"/>
        </w:rPr>
        <w:t>Student Group</w:t>
      </w:r>
      <w:r w:rsidRPr="001633F5">
        <w:rPr>
          <w:lang w:bidi="hi-IN"/>
        </w:rPr>
        <w:t>s with over 100 members will be able to book an additional two core hours a fortnight in the Matt Spencer Board</w:t>
      </w:r>
      <w:r w:rsidR="000D0BEA">
        <w:rPr>
          <w:lang w:bidi="hi-IN"/>
        </w:rPr>
        <w:t>r</w:t>
      </w:r>
      <w:r w:rsidRPr="001633F5">
        <w:rPr>
          <w:lang w:bidi="hi-IN"/>
        </w:rPr>
        <w:t>oom (S</w:t>
      </w:r>
      <w:r>
        <w:rPr>
          <w:lang w:bidi="hi-IN"/>
        </w:rPr>
        <w:t>tudents’ Union</w:t>
      </w:r>
      <w:r w:rsidRPr="001633F5">
        <w:rPr>
          <w:lang w:bidi="hi-IN"/>
        </w:rPr>
        <w:t xml:space="preserve"> Hub), or the Recovery Room (</w:t>
      </w:r>
      <w:r w:rsidR="00735463">
        <w:rPr>
          <w:lang w:bidi="hi-IN"/>
        </w:rPr>
        <w:t>Garrod</w:t>
      </w:r>
      <w:r w:rsidRPr="001633F5">
        <w:rPr>
          <w:lang w:bidi="hi-IN"/>
        </w:rPr>
        <w:t xml:space="preserve"> Building).</w:t>
      </w:r>
    </w:p>
    <w:p w:rsidR="007E72BB" w:rsidP="001C02BF" w:rsidRDefault="001C02BF" w14:paraId="3627D8BD" w14:textId="79BF23D2">
      <w:pPr>
        <w:pStyle w:val="Body"/>
      </w:pPr>
      <w:r>
        <w:t>Bookings made outside of the normal opening hours of the relevant building may incur a charge to cover staff</w:t>
      </w:r>
      <w:r w:rsidR="00C55B7E">
        <w:t>ing</w:t>
      </w:r>
      <w:r>
        <w:t xml:space="preserve"> or portering costs. </w:t>
      </w:r>
      <w:r w:rsidR="51370DA2">
        <w:t xml:space="preserve">University </w:t>
      </w:r>
      <w:r>
        <w:t>Venue spaces such as the Great Hall or Octagon will incur a charge to cover staff and portering costs.</w:t>
      </w:r>
    </w:p>
    <w:p w:rsidR="00504C5A" w:rsidP="001C02BF" w:rsidRDefault="00504C5A" w14:paraId="25AC1AB0" w14:textId="43BD6267">
      <w:pPr>
        <w:pStyle w:val="Body"/>
      </w:pPr>
      <w:r>
        <w:t>Room booking requests must be submitted via the appropriate room booking form and will be processed on a first come first served basis.</w:t>
      </w:r>
      <w:r w:rsidR="00A032D6">
        <w:t xml:space="preserve"> Where a room booking request is not suitable for the nature of an event, alternative rooms will look to be sourced where possible to meet operational requirements</w:t>
      </w:r>
      <w:r w:rsidR="00551985">
        <w:t>.</w:t>
      </w:r>
    </w:p>
    <w:p w:rsidR="000A2FCA" w:rsidP="005820E4" w:rsidRDefault="00F35AB5" w14:paraId="59B6770A" w14:textId="71F9AA03">
      <w:pPr>
        <w:pStyle w:val="Heading"/>
      </w:pPr>
      <w:r>
        <w:t>Reception Warning Policy</w:t>
      </w:r>
    </w:p>
    <w:p w:rsidR="00CD661D" w:rsidP="00F35AB5" w:rsidRDefault="00CD661D" w14:paraId="22A30A6B" w14:textId="3FDEFE7E">
      <w:pPr>
        <w:pStyle w:val="Body"/>
      </w:pPr>
      <w:r>
        <w:t>If a Students’ Union or University room is booked by a Student Group</w:t>
      </w:r>
      <w:r w:rsidR="00C26B4C">
        <w:t xml:space="preserve"> or representative</w:t>
      </w:r>
      <w:r>
        <w:t xml:space="preserve">, the Students’ Union expects </w:t>
      </w:r>
      <w:r w:rsidR="00C26B4C">
        <w:t>them</w:t>
      </w:r>
      <w:r>
        <w:t xml:space="preserve"> to: </w:t>
      </w:r>
    </w:p>
    <w:p w:rsidR="0074045F" w:rsidP="0074045F" w:rsidRDefault="0074045F" w14:paraId="4823046C" w14:textId="583503B2">
      <w:pPr>
        <w:pStyle w:val="Bullets"/>
      </w:pPr>
      <w:r>
        <w:t>Attend their booking or inform the Customer Services Team if the room will not be used</w:t>
      </w:r>
    </w:p>
    <w:p w:rsidRPr="00920FC5" w:rsidR="00CD661D" w:rsidP="00920FC5" w:rsidRDefault="00CD661D" w14:paraId="3FE2A1FA" w14:textId="4B6A197B">
      <w:pPr>
        <w:pStyle w:val="Bullets"/>
      </w:pPr>
      <w:r>
        <w:t xml:space="preserve">Arrive within </w:t>
      </w:r>
      <w:r w:rsidR="00F03D89">
        <w:t>30</w:t>
      </w:r>
      <w:r>
        <w:t xml:space="preserve"> minutes of the start of their </w:t>
      </w:r>
      <w:r w:rsidR="004F0F71">
        <w:t>booking</w:t>
      </w:r>
    </w:p>
    <w:p w:rsidRPr="00920FC5" w:rsidR="00CD661D" w:rsidP="00920FC5" w:rsidRDefault="00CD661D" w14:paraId="0D17BE33" w14:textId="4EF5EC90">
      <w:pPr>
        <w:pStyle w:val="Bullets"/>
      </w:pPr>
      <w:r w:rsidRPr="00920FC5">
        <w:t xml:space="preserve">Leave the room clean and </w:t>
      </w:r>
      <w:r w:rsidRPr="00920FC5" w:rsidR="004F0F71">
        <w:t>tidy</w:t>
      </w:r>
    </w:p>
    <w:p w:rsidRPr="00920FC5" w:rsidR="00CD661D" w:rsidP="00920FC5" w:rsidRDefault="00CD661D" w14:paraId="79E283C1" w14:textId="4B812DAC">
      <w:pPr>
        <w:pStyle w:val="Bullets"/>
      </w:pPr>
      <w:r w:rsidRPr="00920FC5">
        <w:t xml:space="preserve">Return all furniture to its correct </w:t>
      </w:r>
      <w:r w:rsidRPr="00920FC5" w:rsidR="004F0F71">
        <w:t>location</w:t>
      </w:r>
    </w:p>
    <w:p w:rsidRPr="00920FC5" w:rsidR="00CD661D" w:rsidP="00920FC5" w:rsidRDefault="00CD661D" w14:paraId="5D2AC953" w14:textId="35C205C3">
      <w:pPr>
        <w:pStyle w:val="Bullets"/>
      </w:pPr>
      <w:r w:rsidRPr="00920FC5">
        <w:t xml:space="preserve">Vacate the room on </w:t>
      </w:r>
      <w:r w:rsidRPr="00920FC5" w:rsidR="004F0F71">
        <w:t>time</w:t>
      </w:r>
    </w:p>
    <w:p w:rsidRPr="00920FC5" w:rsidR="00CD661D" w:rsidP="00920FC5" w:rsidRDefault="00CD661D" w14:paraId="6CD87989" w14:textId="6F63E15B">
      <w:pPr>
        <w:pStyle w:val="Bullets"/>
      </w:pPr>
      <w:r w:rsidRPr="00920FC5">
        <w:t>Be polite</w:t>
      </w:r>
      <w:r w:rsidR="007D662F">
        <w:t xml:space="preserve"> </w:t>
      </w:r>
      <w:r w:rsidR="00FC299E">
        <w:t xml:space="preserve">- </w:t>
      </w:r>
      <w:r w:rsidRPr="00920FC5" w:rsidR="00FC299E">
        <w:t>to</w:t>
      </w:r>
      <w:r w:rsidRPr="00920FC5">
        <w:t xml:space="preserve"> all staff, including student staff and other </w:t>
      </w:r>
      <w:r w:rsidRPr="00920FC5" w:rsidR="004F0F71">
        <w:t>students</w:t>
      </w:r>
    </w:p>
    <w:p w:rsidRPr="00920FC5" w:rsidR="00CD661D" w:rsidP="00920FC5" w:rsidRDefault="00CD661D" w14:paraId="7B2F96CF" w14:textId="65C93FE4">
      <w:pPr>
        <w:pStyle w:val="Bullets"/>
      </w:pPr>
      <w:r w:rsidRPr="00920FC5">
        <w:lastRenderedPageBreak/>
        <w:t xml:space="preserve">Use the room for the activity described on the room booking </w:t>
      </w:r>
      <w:r w:rsidRPr="00920FC5" w:rsidR="004F0F71">
        <w:t>form</w:t>
      </w:r>
    </w:p>
    <w:p w:rsidRPr="00920FC5" w:rsidR="00CD661D" w:rsidP="00920FC5" w:rsidRDefault="00CD661D" w14:paraId="46603EAF" w14:textId="74A4F3F4">
      <w:pPr>
        <w:pStyle w:val="Bullets"/>
      </w:pPr>
      <w:r w:rsidRPr="00920FC5">
        <w:t xml:space="preserve">Return all borrowed </w:t>
      </w:r>
      <w:r w:rsidRPr="00920FC5" w:rsidR="004F0F71">
        <w:t>equipment</w:t>
      </w:r>
    </w:p>
    <w:p w:rsidRPr="00920FC5" w:rsidR="00CD661D" w:rsidP="00735463" w:rsidRDefault="00CD661D" w14:paraId="628EFB13" w14:textId="68A3CF42">
      <w:pPr>
        <w:pStyle w:val="Bullets"/>
      </w:pPr>
      <w:r w:rsidRPr="00920FC5">
        <w:t>No</w:t>
      </w:r>
      <w:r w:rsidR="008271C0">
        <w:t xml:space="preserve"> </w:t>
      </w:r>
      <w:r w:rsidRPr="00920FC5">
        <w:t>food</w:t>
      </w:r>
      <w:r w:rsidR="008271C0">
        <w:t xml:space="preserve">, </w:t>
      </w:r>
      <w:r w:rsidRPr="00920FC5" w:rsidR="008B1757">
        <w:t>drink,</w:t>
      </w:r>
      <w:r w:rsidRPr="00920FC5">
        <w:t xml:space="preserve"> </w:t>
      </w:r>
      <w:r w:rsidR="008271C0">
        <w:t xml:space="preserve">or </w:t>
      </w:r>
      <w:r w:rsidR="00FC299E">
        <w:t>S</w:t>
      </w:r>
      <w:r w:rsidR="008271C0">
        <w:t>harps</w:t>
      </w:r>
      <w:r w:rsidR="00FC299E">
        <w:t xml:space="preserve"> (medical instruments such as needles</w:t>
      </w:r>
      <w:r w:rsidR="008B1757">
        <w:t xml:space="preserve"> and </w:t>
      </w:r>
      <w:r w:rsidR="00FC299E">
        <w:t>scalpel</w:t>
      </w:r>
      <w:r w:rsidR="008B1757">
        <w:t>s</w:t>
      </w:r>
      <w:r w:rsidR="00FC299E">
        <w:t>)</w:t>
      </w:r>
      <w:r w:rsidR="00735463">
        <w:t xml:space="preserve">, </w:t>
      </w:r>
      <w:r w:rsidRPr="00735463" w:rsidR="00735463">
        <w:t xml:space="preserve">arts and crafts in </w:t>
      </w:r>
      <w:r w:rsidR="002A19B3">
        <w:t>U</w:t>
      </w:r>
      <w:r w:rsidRPr="00735463" w:rsidR="00735463">
        <w:t>niversity rooms</w:t>
      </w:r>
    </w:p>
    <w:p w:rsidRPr="00920FC5" w:rsidR="00CD661D" w:rsidP="00920FC5" w:rsidRDefault="00CD661D" w14:paraId="7D142E16" w14:textId="2B5EC57D">
      <w:pPr>
        <w:pStyle w:val="Bullets"/>
      </w:pPr>
      <w:r w:rsidRPr="00920FC5">
        <w:t>Only make bookings for their Student Group</w:t>
      </w:r>
      <w:r w:rsidR="0074045F">
        <w:t>,</w:t>
      </w:r>
      <w:r w:rsidRPr="00920FC5">
        <w:t xml:space="preserve"> not on behalf of another Student Group or</w:t>
      </w:r>
      <w:r w:rsidRPr="00920FC5" w:rsidR="00F40560">
        <w:t xml:space="preserve">            </w:t>
      </w:r>
      <w:r w:rsidRPr="00920FC5">
        <w:t xml:space="preserve"> </w:t>
      </w:r>
      <w:r w:rsidRPr="00920FC5" w:rsidR="00F40560">
        <w:t xml:space="preserve">   </w:t>
      </w:r>
      <w:r w:rsidRPr="00920FC5">
        <w:t>external organisation</w:t>
      </w:r>
    </w:p>
    <w:p w:rsidR="00CD661D" w:rsidP="00920FC5" w:rsidRDefault="00CD661D" w14:paraId="03A3841C" w14:textId="6DCB2593">
      <w:pPr>
        <w:pStyle w:val="Bullets"/>
      </w:pPr>
      <w:r w:rsidRPr="00920FC5">
        <w:t xml:space="preserve">Not </w:t>
      </w:r>
      <w:r w:rsidR="0074045F">
        <w:t>adversely affect</w:t>
      </w:r>
      <w:r w:rsidRPr="00920FC5">
        <w:t xml:space="preserve"> bookings or teaching taking place after their booking</w:t>
      </w:r>
    </w:p>
    <w:p w:rsidR="0074045F" w:rsidP="00920FC5" w:rsidRDefault="0074045F" w14:paraId="326C92E6" w14:textId="372EAB89">
      <w:pPr>
        <w:pStyle w:val="Bullets"/>
      </w:pPr>
      <w:r>
        <w:t>Adhere to the Fair Usage Protocol as laid out on the QMSU website</w:t>
      </w:r>
    </w:p>
    <w:p w:rsidR="0074045F" w:rsidP="00920FC5" w:rsidRDefault="0074045F" w14:paraId="21634FB1" w14:textId="685AA37D">
      <w:pPr>
        <w:pStyle w:val="Bullets"/>
      </w:pPr>
      <w:r>
        <w:t>Not create a fire or Health and Safety risk</w:t>
      </w:r>
    </w:p>
    <w:p w:rsidR="0074045F" w:rsidP="00920FC5" w:rsidRDefault="0074045F" w14:paraId="4464138A" w14:textId="31E3CB2E">
      <w:pPr>
        <w:pStyle w:val="Bullets"/>
      </w:pPr>
      <w:r>
        <w:t>Only advertise event once room booking and any external speakers have been confirmed</w:t>
      </w:r>
      <w:r w:rsidR="005D555F">
        <w:t xml:space="preserve"> in accordance with the </w:t>
      </w:r>
      <w:hyperlink w:history="1" r:id="rId10">
        <w:r w:rsidRPr="00BA4717" w:rsidR="005D555F">
          <w:rPr>
            <w:rStyle w:val="Hyperlink"/>
          </w:rPr>
          <w:t>External Speaker Policy</w:t>
        </w:r>
      </w:hyperlink>
      <w:r>
        <w:t>.</w:t>
      </w:r>
    </w:p>
    <w:p w:rsidR="0074045F" w:rsidP="0074045F" w:rsidRDefault="0074045F" w14:paraId="18A9F0DC" w14:textId="77777777">
      <w:pPr>
        <w:pStyle w:val="Bullets"/>
        <w:numPr>
          <w:ilvl w:val="0"/>
          <w:numId w:val="0"/>
        </w:numPr>
      </w:pPr>
    </w:p>
    <w:p w:rsidR="0074045F" w:rsidP="00A032D6" w:rsidRDefault="0074045F" w14:paraId="0B0BD452" w14:textId="0C5570D8">
      <w:pPr>
        <w:pStyle w:val="Bullets"/>
        <w:numPr>
          <w:ilvl w:val="0"/>
          <w:numId w:val="0"/>
        </w:numPr>
      </w:pPr>
      <w:r>
        <w:t xml:space="preserve">If a Student Group does not meet the above expectations, they will receive a Room Usage Warning. Severe misuse can lead to more than one warning being issued at a time. Please refer to the </w:t>
      </w:r>
      <w:hyperlink w:history="1" r:id="rId11">
        <w:r w:rsidRPr="000A1B65" w:rsidR="00190835">
          <w:rPr>
            <w:rStyle w:val="Hyperlink"/>
          </w:rPr>
          <w:t>Strike Group Warning and Strike Policy</w:t>
        </w:r>
      </w:hyperlink>
      <w:r w:rsidR="00190835">
        <w:t>.</w:t>
      </w:r>
    </w:p>
    <w:p w:rsidR="006C2403" w:rsidP="00EF707A" w:rsidRDefault="00EF707A" w14:paraId="0FC39842" w14:textId="464058B9">
      <w:pPr>
        <w:pStyle w:val="Heading"/>
      </w:pPr>
      <w:r>
        <w:t>Additional Information</w:t>
      </w:r>
    </w:p>
    <w:p w:rsidR="006C2403" w:rsidP="002C648D" w:rsidRDefault="002C648D" w14:paraId="7D1CE016" w14:textId="649E55B0">
      <w:pPr>
        <w:pStyle w:val="Sub-heading"/>
      </w:pPr>
      <w:r>
        <w:t>Cancellation Policy</w:t>
      </w:r>
    </w:p>
    <w:p w:rsidR="00C16FCE" w:rsidP="002C648D" w:rsidRDefault="002C648D" w14:paraId="7F4B9E48" w14:textId="77777777">
      <w:pPr>
        <w:pStyle w:val="Body"/>
      </w:pPr>
      <w:r w:rsidRPr="002C648D">
        <w:t>If the date of your booking needs to be changed, you must cancel your booking and submit another online form.</w:t>
      </w:r>
      <w:r w:rsidR="00C16FCE">
        <w:t xml:space="preserve"> </w:t>
      </w:r>
    </w:p>
    <w:p w:rsidR="00C16FCE" w:rsidP="00C16FCE" w:rsidRDefault="00C16FCE" w14:paraId="5A30BD94" w14:textId="3E12BF09">
      <w:pPr>
        <w:pStyle w:val="Bullets"/>
      </w:pPr>
      <w:r w:rsidRPr="002C648D">
        <w:t xml:space="preserve">You can cancel your booking by emailing </w:t>
      </w:r>
      <w:hyperlink w:history="1" r:id="rId12">
        <w:r w:rsidRPr="006725C2" w:rsidR="00735463">
          <w:rPr>
            <w:rStyle w:val="Hyperlink"/>
          </w:rPr>
          <w:t>su-qmsu.reception@qmul.ac.uk</w:t>
        </w:r>
      </w:hyperlink>
      <w:r w:rsidR="00735463">
        <w:t xml:space="preserve"> </w:t>
      </w:r>
      <w:r w:rsidRPr="002C648D">
        <w:t xml:space="preserve">and quoting your </w:t>
      </w:r>
      <w:r w:rsidR="00723D34">
        <w:t xml:space="preserve">room booking </w:t>
      </w:r>
      <w:r w:rsidRPr="002C648D">
        <w:t>reference number</w:t>
      </w:r>
      <w:r w:rsidR="00723D34">
        <w:t xml:space="preserve"> (located in your room booking confirmation email)</w:t>
      </w:r>
      <w:r w:rsidRPr="002C648D" w:rsidR="008B1757">
        <w:t>.</w:t>
      </w:r>
      <w:r w:rsidR="008B1757">
        <w:t xml:space="preserve"> </w:t>
      </w:r>
    </w:p>
    <w:p w:rsidRPr="002C648D" w:rsidR="002C648D" w:rsidP="00C16FCE" w:rsidRDefault="002C648D" w14:paraId="0A3A3885" w14:textId="70377FA1">
      <w:pPr>
        <w:pStyle w:val="Bullets"/>
      </w:pPr>
      <w:r w:rsidRPr="002C648D">
        <w:t xml:space="preserve">No changes to dates will be authorised via </w:t>
      </w:r>
      <w:r w:rsidR="00535EF9">
        <w:t xml:space="preserve">telephone </w:t>
      </w:r>
      <w:r w:rsidRPr="002C648D">
        <w:t xml:space="preserve">or in person at the </w:t>
      </w:r>
      <w:r w:rsidR="0038399D">
        <w:t xml:space="preserve">Hub </w:t>
      </w:r>
      <w:r w:rsidRPr="002C648D">
        <w:t>Reception desk.</w:t>
      </w:r>
    </w:p>
    <w:p w:rsidR="006C2403" w:rsidP="007140CD" w:rsidRDefault="00F758EF" w14:paraId="04E4337D" w14:textId="5875D7F2">
      <w:pPr>
        <w:pStyle w:val="Sub-heading"/>
      </w:pPr>
      <w:r>
        <w:t>University Room Bookings</w:t>
      </w:r>
    </w:p>
    <w:p w:rsidR="00BF31E1" w:rsidP="00BF31E1" w:rsidRDefault="00F758EF" w14:paraId="3F1CA539" w14:textId="0F662729">
      <w:pPr>
        <w:pStyle w:val="Body"/>
        <w:numPr>
          <w:ilvl w:val="0"/>
          <w:numId w:val="4"/>
        </w:numPr>
      </w:pPr>
      <w:r w:rsidRPr="00F758EF">
        <w:t xml:space="preserve">Any booking after 6pm at Mile End will be placed below the </w:t>
      </w:r>
      <w:r w:rsidRPr="00F758EF" w:rsidR="008B1757">
        <w:t>third</w:t>
      </w:r>
      <w:r w:rsidRPr="00F758EF">
        <w:t xml:space="preserve"> floor of the Francis Bancroft Building. Any bookings after 6pm at Whitechapel </w:t>
      </w:r>
      <w:r w:rsidR="00B82EBA">
        <w:t>will be</w:t>
      </w:r>
      <w:r w:rsidRPr="00F758EF">
        <w:t xml:space="preserve"> placed in the Garrod Building.</w:t>
      </w:r>
    </w:p>
    <w:p w:rsidR="00BF31E1" w:rsidP="00BF31E1" w:rsidRDefault="00F758EF" w14:paraId="3994001C" w14:textId="3EA6A799">
      <w:pPr>
        <w:pStyle w:val="Body"/>
        <w:numPr>
          <w:ilvl w:val="0"/>
          <w:numId w:val="4"/>
        </w:numPr>
      </w:pPr>
      <w:r>
        <w:t>Weekend bookings at Mile End will be placed in the Bancroft building (</w:t>
      </w:r>
      <w:r w:rsidR="005D555F">
        <w:t>porterage and cleaning costs</w:t>
      </w:r>
      <w:r>
        <w:t xml:space="preserve"> will be charged as directed by the University Events Team).</w:t>
      </w:r>
    </w:p>
    <w:p w:rsidR="00BF31E1" w:rsidP="00BF31E1" w:rsidRDefault="00F758EF" w14:paraId="1063CBFA" w14:textId="77777777">
      <w:pPr>
        <w:pStyle w:val="Body"/>
        <w:numPr>
          <w:ilvl w:val="0"/>
          <w:numId w:val="4"/>
        </w:numPr>
      </w:pPr>
      <w:r w:rsidRPr="00F758EF">
        <w:t>The space allocated for the booking is at the discretion of Queen Mary University, to limit the number of buildings open outside of normal working hours.</w:t>
      </w:r>
    </w:p>
    <w:p w:rsidR="00BF31E1" w:rsidP="00BF31E1" w:rsidRDefault="00F758EF" w14:paraId="1962653D" w14:textId="7A6E0362">
      <w:pPr>
        <w:pStyle w:val="Body"/>
        <w:numPr>
          <w:ilvl w:val="0"/>
          <w:numId w:val="4"/>
        </w:numPr>
      </w:pPr>
      <w:r w:rsidRPr="00F758EF">
        <w:t xml:space="preserve">The University may ask </w:t>
      </w:r>
      <w:r w:rsidRPr="00F758EF" w:rsidR="004F0F71">
        <w:t>to seek</w:t>
      </w:r>
      <w:r w:rsidRPr="00F758EF">
        <w:t xml:space="preserve"> further particulars about any planned event from the organiser who shall be under duty to cooperate in all respects with such inquiries.</w:t>
      </w:r>
    </w:p>
    <w:p w:rsidRPr="00F758EF" w:rsidR="00F758EF" w:rsidP="00BF31E1" w:rsidRDefault="00F758EF" w14:paraId="3A23C939" w14:textId="061F0F4A">
      <w:pPr>
        <w:pStyle w:val="Body"/>
        <w:numPr>
          <w:ilvl w:val="0"/>
          <w:numId w:val="4"/>
        </w:numPr>
      </w:pPr>
      <w:r>
        <w:t>If approved, where difficulties arise during or immediately prior to a book</w:t>
      </w:r>
      <w:r w:rsidR="00535EF9">
        <w:t>ing</w:t>
      </w:r>
      <w:r>
        <w:t xml:space="preserve"> such that the meeting cannot be allowed to take place or continue without risk of damage, injury, harassment or serious disturbance the University shall</w:t>
      </w:r>
      <w:r w:rsidR="00F03D89">
        <w:t xml:space="preserve"> be</w:t>
      </w:r>
      <w:r>
        <w:t xml:space="preserve"> empowered to take steps necessary to deal with the situation including, if unavoidable, cancellation of the event.</w:t>
      </w:r>
    </w:p>
    <w:p w:rsidR="00F758EF" w:rsidP="00B7188F" w:rsidRDefault="007140CD" w14:paraId="2798075C" w14:textId="77EF2DA4">
      <w:pPr>
        <w:pStyle w:val="Body"/>
      </w:pPr>
      <w:r w:rsidR="0E435AF4">
        <w:rPr/>
        <w:t xml:space="preserve">Any </w:t>
      </w:r>
      <w:r w:rsidR="758C9B1A">
        <w:rPr/>
        <w:t>c</w:t>
      </w:r>
      <w:r w:rsidR="0E435AF4">
        <w:rPr/>
        <w:t xml:space="preserve">osts incurred for staffing or providing any service for the event must be paid for by the group in advance of the booking. The </w:t>
      </w:r>
      <w:r w:rsidR="6A07DE13">
        <w:rPr/>
        <w:t xml:space="preserve">Customer Service Team </w:t>
      </w:r>
      <w:r w:rsidR="0E435AF4">
        <w:rPr/>
        <w:t>will advise on the costs involved.</w:t>
      </w:r>
    </w:p>
    <w:p w:rsidRPr="00A10802" w:rsidR="00A032D6" w:rsidP="00A032D6" w:rsidRDefault="00A032D6" w14:paraId="1966D866" w14:textId="77777777">
      <w:pPr>
        <w:pStyle w:val="Sub-heading"/>
      </w:pPr>
      <w:r>
        <w:lastRenderedPageBreak/>
        <w:t>Laird Hall Bookings</w:t>
      </w:r>
    </w:p>
    <w:p w:rsidR="00A032D6" w:rsidP="00A032D6" w:rsidRDefault="009C49F8" w14:paraId="6A3C7265" w14:textId="09B5B63E">
      <w:pPr>
        <w:pStyle w:val="Body"/>
      </w:pPr>
      <w:r>
        <w:t>In the 2025-26 academic year</w:t>
      </w:r>
      <w:r w:rsidR="00A032D6">
        <w:t>, the QMUL Residen</w:t>
      </w:r>
      <w:r w:rsidR="001F0A31">
        <w:t>t</w:t>
      </w:r>
      <w:r>
        <w:t>ial Services</w:t>
      </w:r>
      <w:r w:rsidR="00A032D6">
        <w:t xml:space="preserve"> </w:t>
      </w:r>
      <w:r>
        <w:t xml:space="preserve">received complaints </w:t>
      </w:r>
      <w:r w:rsidR="00A032D6">
        <w:t xml:space="preserve">regarding </w:t>
      </w:r>
      <w:r w:rsidRPr="00A032D6" w:rsidR="00A032D6">
        <w:t xml:space="preserve">noise levels </w:t>
      </w:r>
      <w:r w:rsidR="00A032D6">
        <w:t xml:space="preserve">from Laird Hall impacting on </w:t>
      </w:r>
      <w:r>
        <w:t>Floyer House</w:t>
      </w:r>
      <w:r w:rsidR="00E90B9E">
        <w:t xml:space="preserve"> residents</w:t>
      </w:r>
      <w:r w:rsidRPr="00A032D6" w:rsidR="00A032D6">
        <w:t>.</w:t>
      </w:r>
      <w:r w:rsidR="00A032D6">
        <w:t xml:space="preserve"> </w:t>
      </w:r>
      <w:r w:rsidRPr="00A032D6" w:rsidR="00A032D6">
        <w:t>Conversations are still ongoing with the university to see how this can be resolved going forward so that student groups can use the space with minimal impact for residen</w:t>
      </w:r>
      <w:r>
        <w:t>t</w:t>
      </w:r>
      <w:r w:rsidRPr="00A032D6" w:rsidR="00A032D6">
        <w:t>s of Floyer House. </w:t>
      </w:r>
    </w:p>
    <w:p w:rsidR="00A032D6" w:rsidP="009223A8" w:rsidRDefault="009223A8" w14:paraId="2BFD6A34" w14:textId="0CB13E9F">
      <w:pPr>
        <w:pStyle w:val="Bullets"/>
        <w:numPr>
          <w:ilvl w:val="0"/>
          <w:numId w:val="0"/>
        </w:numPr>
      </w:pPr>
      <w:r>
        <w:t>The Customer Service Team will process</w:t>
      </w:r>
      <w:r w:rsidRPr="00A032D6" w:rsidR="00A032D6">
        <w:t xml:space="preserve"> booking</w:t>
      </w:r>
      <w:r>
        <w:t xml:space="preserve"> requests for rehearsals, band practice sessions, and performances</w:t>
      </w:r>
      <w:r w:rsidR="009C49F8">
        <w:t>, however,</w:t>
      </w:r>
      <w:r w:rsidRPr="00A032D6" w:rsidR="00A032D6">
        <w:t xml:space="preserve"> if noise complaints continue</w:t>
      </w:r>
      <w:r w:rsidR="009C49F8">
        <w:t>,</w:t>
      </w:r>
      <w:r w:rsidRPr="00A032D6" w:rsidR="00A032D6">
        <w:t xml:space="preserve"> bookings </w:t>
      </w:r>
      <w:r w:rsidR="00C55B7E">
        <w:t xml:space="preserve">including performances </w:t>
      </w:r>
      <w:r w:rsidRPr="00A032D6" w:rsidR="00A032D6">
        <w:t>may be subject to cancellations</w:t>
      </w:r>
      <w:r>
        <w:t>.</w:t>
      </w:r>
      <w:r w:rsidR="00C55B7E">
        <w:t xml:space="preserve"> </w:t>
      </w:r>
    </w:p>
    <w:p w:rsidRPr="00A032D6" w:rsidR="00C55B7E" w:rsidP="00C55B7E" w:rsidRDefault="00C55B7E" w14:paraId="2991ED33" w14:textId="77777777">
      <w:pPr>
        <w:pStyle w:val="Bullets"/>
        <w:numPr>
          <w:ilvl w:val="0"/>
          <w:numId w:val="0"/>
        </w:numPr>
      </w:pPr>
      <w:r>
        <w:t>Bookings for Laird Hall will end no later than 21:30.</w:t>
      </w:r>
    </w:p>
    <w:p w:rsidR="00A032D6" w:rsidP="0047544B" w:rsidRDefault="009C49F8" w14:paraId="7818D66B" w14:textId="1C8E55BF">
      <w:pPr>
        <w:pStyle w:val="Bullets"/>
        <w:numPr>
          <w:ilvl w:val="0"/>
          <w:numId w:val="0"/>
        </w:numPr>
      </w:pPr>
      <w:r>
        <w:t xml:space="preserve">The Customer and People Manager will send QMUL </w:t>
      </w:r>
      <w:r w:rsidR="009223A8">
        <w:t>Residen</w:t>
      </w:r>
      <w:r w:rsidR="001F0A31">
        <w:t>t</w:t>
      </w:r>
      <w:r>
        <w:t>ial</w:t>
      </w:r>
      <w:r w:rsidR="009223A8">
        <w:t xml:space="preserve"> </w:t>
      </w:r>
      <w:r>
        <w:t xml:space="preserve">Services </w:t>
      </w:r>
      <w:r w:rsidR="009223A8">
        <w:t>a</w:t>
      </w:r>
      <w:r w:rsidR="00C55B7E">
        <w:t xml:space="preserve"> </w:t>
      </w:r>
      <w:r w:rsidR="009223A8">
        <w:t xml:space="preserve">list of </w:t>
      </w:r>
      <w:r w:rsidRPr="00A032D6" w:rsidR="00A032D6">
        <w:t xml:space="preserve">scheduled SU-affiliated </w:t>
      </w:r>
      <w:r w:rsidR="009223A8">
        <w:t xml:space="preserve">society or club </w:t>
      </w:r>
      <w:r w:rsidRPr="00A032D6" w:rsidR="00A032D6">
        <w:t>events</w:t>
      </w:r>
      <w:r w:rsidR="009223A8">
        <w:t xml:space="preserve"> taking place in Laird Hall</w:t>
      </w:r>
      <w:r w:rsidRPr="00A032D6" w:rsidR="00A032D6">
        <w:t xml:space="preserve">, which </w:t>
      </w:r>
      <w:r w:rsidR="009223A8">
        <w:t>will</w:t>
      </w:r>
      <w:r w:rsidRPr="00A032D6" w:rsidR="00A032D6">
        <w:t xml:space="preserve"> be included in </w:t>
      </w:r>
      <w:r w:rsidR="009223A8">
        <w:t xml:space="preserve">the </w:t>
      </w:r>
      <w:r w:rsidRPr="00A032D6" w:rsidR="00A032D6">
        <w:t xml:space="preserve">weekly </w:t>
      </w:r>
      <w:r w:rsidR="009223A8">
        <w:t>n</w:t>
      </w:r>
      <w:r w:rsidRPr="00A032D6" w:rsidR="00A032D6">
        <w:t>ewsletter to</w:t>
      </w:r>
      <w:r w:rsidR="009223A8">
        <w:t xml:space="preserve"> Floyer House</w:t>
      </w:r>
      <w:r w:rsidR="00C55B7E">
        <w:t xml:space="preserve"> residen</w:t>
      </w:r>
      <w:r>
        <w:t>ts</w:t>
      </w:r>
      <w:r w:rsidR="00C55B7E">
        <w:t>.</w:t>
      </w:r>
    </w:p>
    <w:p w:rsidRPr="007140CD" w:rsidR="007140CD" w:rsidP="007140CD" w:rsidRDefault="007140CD" w14:paraId="50483D26" w14:textId="772FC795">
      <w:pPr>
        <w:pStyle w:val="Sub-heading"/>
      </w:pPr>
      <w:r w:rsidRPr="007140CD">
        <w:t>Weekend Bookings in the Garrod Building</w:t>
      </w:r>
    </w:p>
    <w:p w:rsidRPr="007140CD" w:rsidR="007140CD" w:rsidP="007140CD" w:rsidRDefault="002362A2" w14:paraId="7E5EC13A" w14:textId="6F276A1B">
      <w:pPr>
        <w:pStyle w:val="Body"/>
      </w:pPr>
      <w:r>
        <w:t>As outlined by the University</w:t>
      </w:r>
      <w:r w:rsidR="00AE67F3">
        <w:t>,</w:t>
      </w:r>
      <w:r>
        <w:t xml:space="preserve"> o</w:t>
      </w:r>
      <w:r w:rsidR="007140CD">
        <w:t>nly BLSA student groups are permitted to book the Garrod Building at the weekend.</w:t>
      </w:r>
      <w:r>
        <w:br/>
      </w:r>
      <w:r>
        <w:br/>
      </w:r>
      <w:r w:rsidR="007140CD">
        <w:t xml:space="preserve">Any non-BLSA student group must </w:t>
      </w:r>
      <w:r w:rsidR="00F03D89">
        <w:t xml:space="preserve">make a special </w:t>
      </w:r>
      <w:r w:rsidR="007140CD">
        <w:t xml:space="preserve">request </w:t>
      </w:r>
      <w:r w:rsidR="00F03D89">
        <w:t xml:space="preserve">to have a </w:t>
      </w:r>
      <w:r w:rsidR="007140CD">
        <w:t xml:space="preserve">weekend booking at non-Mile End locations. </w:t>
      </w:r>
      <w:r>
        <w:br/>
      </w:r>
      <w:r>
        <w:br/>
      </w:r>
      <w:r w:rsidR="007140CD">
        <w:t xml:space="preserve">BLSA student groups should fill out the </w:t>
      </w:r>
      <w:r w:rsidR="00D216C2">
        <w:t xml:space="preserve">University </w:t>
      </w:r>
      <w:r w:rsidR="007140CD">
        <w:t xml:space="preserve">online booking form in the usual way. </w:t>
      </w:r>
    </w:p>
    <w:sectPr w:rsidRPr="007140CD" w:rsidR="007140CD" w:rsidSect="00EF7474">
      <w:headerReference w:type="default" r:id="rId13"/>
      <w:footerReference w:type="even" r:id="rId14"/>
      <w:footerReference w:type="default" r:id="rId15"/>
      <w:pgSz w:w="11900" w:h="16840" w:orient="portrait"/>
      <w:pgMar w:top="1107" w:right="1100" w:bottom="2917" w:left="1080" w:header="57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70430" w:rsidP="00F316AA" w:rsidRDefault="00070430" w14:paraId="3359D602" w14:textId="77777777">
      <w:r>
        <w:separator/>
      </w:r>
    </w:p>
  </w:endnote>
  <w:endnote w:type="continuationSeparator" w:id="0">
    <w:p w:rsidR="00070430" w:rsidP="00F316AA" w:rsidRDefault="00070430" w14:paraId="2FF20D69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316AA" w:rsidRDefault="00F316AA" w14:paraId="55CDE694" w14:textId="77777777">
    <w:pPr>
      <w:pStyle w:val="Footer"/>
      <w:framePr w:wrap="none" w:hAnchor="margin" w:vAnchor="tex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316AA" w:rsidP="00F316AA" w:rsidRDefault="00F316AA" w14:paraId="2C1EC2F2" w14:textId="77777777">
    <w:pPr>
      <w:pStyle w:val="Footer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316AA" w:rsidP="00F316AA" w:rsidRDefault="00F316AA" w14:paraId="5DA4194D" w14:textId="60618728">
    <w:pPr>
      <w:pStyle w:val="Footer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70430" w:rsidP="00F316AA" w:rsidRDefault="00070430" w14:paraId="62F67070" w14:textId="77777777">
      <w:r>
        <w:separator/>
      </w:r>
    </w:p>
  </w:footnote>
  <w:footnote w:type="continuationSeparator" w:id="0">
    <w:p w:rsidR="00070430" w:rsidP="00F316AA" w:rsidRDefault="00070430" w14:paraId="13DEC003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6B7A2B" w:rsidR="006B7A2B" w:rsidP="00EF7474" w:rsidRDefault="006B7A2B" w14:paraId="632443A6" w14:textId="77777777">
    <w:pPr>
      <w:pStyle w:val="Footer"/>
      <w:framePr w:w="332" w:wrap="none" w:hAnchor="page" w:vAnchor="text" w:x="11177" w:y="-218"/>
      <w:jc w:val="right"/>
      <w:rPr>
        <w:rStyle w:val="PageNumber"/>
        <w:rFonts w:ascii="Century Gothic" w:hAnsi="Century Gothic"/>
        <w:b/>
        <w:bCs/>
        <w:color w:val="00BABC"/>
        <w:sz w:val="22"/>
        <w:szCs w:val="22"/>
      </w:rPr>
    </w:pPr>
    <w:r w:rsidRPr="006B7A2B">
      <w:rPr>
        <w:rStyle w:val="PageNumber"/>
        <w:rFonts w:ascii="Century Gothic" w:hAnsi="Century Gothic"/>
        <w:b/>
        <w:bCs/>
        <w:color w:val="00BABC"/>
        <w:sz w:val="22"/>
        <w:szCs w:val="22"/>
      </w:rPr>
      <w:fldChar w:fldCharType="begin"/>
    </w:r>
    <w:r w:rsidRPr="006B7A2B">
      <w:rPr>
        <w:rStyle w:val="PageNumber"/>
        <w:rFonts w:ascii="Century Gothic" w:hAnsi="Century Gothic"/>
        <w:b/>
        <w:bCs/>
        <w:color w:val="00BABC"/>
        <w:sz w:val="22"/>
        <w:szCs w:val="22"/>
      </w:rPr>
      <w:instrText xml:space="preserve">PAGE  </w:instrText>
    </w:r>
    <w:r w:rsidRPr="006B7A2B">
      <w:rPr>
        <w:rStyle w:val="PageNumber"/>
        <w:rFonts w:ascii="Century Gothic" w:hAnsi="Century Gothic"/>
        <w:b/>
        <w:bCs/>
        <w:color w:val="00BABC"/>
        <w:sz w:val="22"/>
        <w:szCs w:val="22"/>
      </w:rPr>
      <w:fldChar w:fldCharType="separate"/>
    </w:r>
    <w:r>
      <w:rPr>
        <w:rStyle w:val="PageNumber"/>
        <w:rFonts w:ascii="Century Gothic" w:hAnsi="Century Gothic"/>
        <w:b/>
        <w:bCs/>
        <w:color w:val="00BABC"/>
        <w:sz w:val="22"/>
        <w:szCs w:val="22"/>
      </w:rPr>
      <w:t>1</w:t>
    </w:r>
    <w:r w:rsidRPr="006B7A2B">
      <w:rPr>
        <w:rStyle w:val="PageNumber"/>
        <w:rFonts w:ascii="Century Gothic" w:hAnsi="Century Gothic"/>
        <w:b/>
        <w:bCs/>
        <w:color w:val="00BABC"/>
        <w:sz w:val="22"/>
        <w:szCs w:val="22"/>
      </w:rPr>
      <w:fldChar w:fldCharType="end"/>
    </w:r>
  </w:p>
  <w:p w:rsidR="00F316AA" w:rsidRDefault="00F316AA" w14:paraId="11789740" w14:textId="188AF668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0" behindDoc="1" locked="0" layoutInCell="1" allowOverlap="1" wp14:anchorId="1DC2048D" wp14:editId="0844A751">
          <wp:simplePos x="0" y="0"/>
          <wp:positionH relativeFrom="column">
            <wp:posOffset>-685800</wp:posOffset>
          </wp:positionH>
          <wp:positionV relativeFrom="paragraph">
            <wp:posOffset>-432872</wp:posOffset>
          </wp:positionV>
          <wp:extent cx="7595025" cy="10735154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95025" cy="1073515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A3BD3"/>
    <w:multiLevelType w:val="hybridMultilevel"/>
    <w:tmpl w:val="6094718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1987404">
      <w:numFmt w:val="bullet"/>
      <w:lvlText w:val="•"/>
      <w:lvlJc w:val="left"/>
      <w:pPr>
        <w:ind w:left="1440" w:hanging="360"/>
      </w:pPr>
      <w:rPr>
        <w:rFonts w:hint="default" w:ascii="Arial" w:hAnsi="Arial" w:cs="Arial" w:eastAsiaTheme="minorHAnsi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EF1607A"/>
    <w:multiLevelType w:val="hybridMultilevel"/>
    <w:tmpl w:val="55948B3C"/>
    <w:lvl w:ilvl="0" w:tplc="F74A6FBE">
      <w:numFmt w:val="bullet"/>
      <w:lvlText w:val="•"/>
      <w:lvlJc w:val="left"/>
      <w:pPr>
        <w:ind w:left="720" w:hanging="360"/>
      </w:pPr>
      <w:rPr>
        <w:rFonts w:hint="default" w:ascii="Arial" w:hAnsi="Arial" w:cs="Arial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FA90B68"/>
    <w:multiLevelType w:val="hybridMultilevel"/>
    <w:tmpl w:val="73F4C866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454726B"/>
    <w:multiLevelType w:val="multilevel"/>
    <w:tmpl w:val="C6CC3682"/>
    <w:styleLink w:val="CurrentList1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0047BA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53AC4483"/>
    <w:multiLevelType w:val="hybridMultilevel"/>
    <w:tmpl w:val="3F24A74E"/>
    <w:lvl w:ilvl="0" w:tplc="CE066DD4">
      <w:start w:val="1"/>
      <w:numFmt w:val="bullet"/>
      <w:pStyle w:val="Bullets"/>
      <w:lvlText w:val=""/>
      <w:lvlJc w:val="left"/>
      <w:pPr>
        <w:ind w:left="720" w:hanging="360"/>
      </w:pPr>
      <w:rPr>
        <w:rFonts w:hint="default" w:ascii="Symbol" w:hAnsi="Symbol"/>
        <w:color w:val="00BABC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6CF00E34"/>
    <w:multiLevelType w:val="multilevel"/>
    <w:tmpl w:val="113697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F015BC4"/>
    <w:multiLevelType w:val="multilevel"/>
    <w:tmpl w:val="93047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num w:numId="1" w16cid:durableId="148449332">
    <w:abstractNumId w:val="4"/>
  </w:num>
  <w:num w:numId="2" w16cid:durableId="1310944502">
    <w:abstractNumId w:val="3"/>
  </w:num>
  <w:num w:numId="3" w16cid:durableId="258415210">
    <w:abstractNumId w:val="4"/>
    <w:lvlOverride w:ilvl="0">
      <w:startOverride w:val="1"/>
    </w:lvlOverride>
  </w:num>
  <w:num w:numId="4" w16cid:durableId="585651706">
    <w:abstractNumId w:val="2"/>
  </w:num>
  <w:num w:numId="5" w16cid:durableId="2141456621">
    <w:abstractNumId w:val="0"/>
  </w:num>
  <w:num w:numId="6" w16cid:durableId="2137286799">
    <w:abstractNumId w:val="1"/>
  </w:num>
  <w:num w:numId="7" w16cid:durableId="755706778">
    <w:abstractNumId w:val="5"/>
  </w:num>
  <w:num w:numId="8" w16cid:durableId="23004328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trackRevisions w:val="false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2FCA"/>
    <w:rsid w:val="000001AC"/>
    <w:rsid w:val="00032738"/>
    <w:rsid w:val="00033FDB"/>
    <w:rsid w:val="00037DC2"/>
    <w:rsid w:val="00070171"/>
    <w:rsid w:val="00070430"/>
    <w:rsid w:val="00077D55"/>
    <w:rsid w:val="000800BD"/>
    <w:rsid w:val="00080EDE"/>
    <w:rsid w:val="000A1B65"/>
    <w:rsid w:val="000A2FCA"/>
    <w:rsid w:val="000A6EAC"/>
    <w:rsid w:val="000C7899"/>
    <w:rsid w:val="000D0BEA"/>
    <w:rsid w:val="000E1D6C"/>
    <w:rsid w:val="000E3F4E"/>
    <w:rsid w:val="001041B3"/>
    <w:rsid w:val="001212AD"/>
    <w:rsid w:val="00130FC8"/>
    <w:rsid w:val="0015158B"/>
    <w:rsid w:val="00190835"/>
    <w:rsid w:val="001A6795"/>
    <w:rsid w:val="001C02BF"/>
    <w:rsid w:val="001D0641"/>
    <w:rsid w:val="001F0A31"/>
    <w:rsid w:val="002362A2"/>
    <w:rsid w:val="0026372D"/>
    <w:rsid w:val="00287FE1"/>
    <w:rsid w:val="00292E06"/>
    <w:rsid w:val="002A19B3"/>
    <w:rsid w:val="002A2A85"/>
    <w:rsid w:val="002C648D"/>
    <w:rsid w:val="003472FC"/>
    <w:rsid w:val="00351CCE"/>
    <w:rsid w:val="0038399D"/>
    <w:rsid w:val="0039208C"/>
    <w:rsid w:val="0040672F"/>
    <w:rsid w:val="00417AB2"/>
    <w:rsid w:val="00426380"/>
    <w:rsid w:val="0046247A"/>
    <w:rsid w:val="0047544B"/>
    <w:rsid w:val="004A7A95"/>
    <w:rsid w:val="004B0026"/>
    <w:rsid w:val="004C4926"/>
    <w:rsid w:val="004F0F71"/>
    <w:rsid w:val="004F3677"/>
    <w:rsid w:val="00504C5A"/>
    <w:rsid w:val="00516CB3"/>
    <w:rsid w:val="00523563"/>
    <w:rsid w:val="00535EF9"/>
    <w:rsid w:val="00546132"/>
    <w:rsid w:val="00551985"/>
    <w:rsid w:val="00565752"/>
    <w:rsid w:val="0058174C"/>
    <w:rsid w:val="005820E4"/>
    <w:rsid w:val="005939F5"/>
    <w:rsid w:val="005978EB"/>
    <w:rsid w:val="005D555F"/>
    <w:rsid w:val="005D7DA5"/>
    <w:rsid w:val="005F7461"/>
    <w:rsid w:val="00605F67"/>
    <w:rsid w:val="0061228B"/>
    <w:rsid w:val="00614A6C"/>
    <w:rsid w:val="00621EB4"/>
    <w:rsid w:val="00641127"/>
    <w:rsid w:val="00675ED8"/>
    <w:rsid w:val="006763CC"/>
    <w:rsid w:val="006B0CD5"/>
    <w:rsid w:val="006B7725"/>
    <w:rsid w:val="006B7A2B"/>
    <w:rsid w:val="006C2403"/>
    <w:rsid w:val="006D38E6"/>
    <w:rsid w:val="007048F4"/>
    <w:rsid w:val="007140CD"/>
    <w:rsid w:val="00723D34"/>
    <w:rsid w:val="00733131"/>
    <w:rsid w:val="00735463"/>
    <w:rsid w:val="0074045F"/>
    <w:rsid w:val="00785E4C"/>
    <w:rsid w:val="00787D2B"/>
    <w:rsid w:val="00794412"/>
    <w:rsid w:val="007C5F3E"/>
    <w:rsid w:val="007D662F"/>
    <w:rsid w:val="007E72BB"/>
    <w:rsid w:val="007F2751"/>
    <w:rsid w:val="007F2BC4"/>
    <w:rsid w:val="007F4AF2"/>
    <w:rsid w:val="00805CF8"/>
    <w:rsid w:val="008244F4"/>
    <w:rsid w:val="008271C0"/>
    <w:rsid w:val="008438BE"/>
    <w:rsid w:val="00850197"/>
    <w:rsid w:val="00872198"/>
    <w:rsid w:val="00887304"/>
    <w:rsid w:val="00893625"/>
    <w:rsid w:val="008B0CFF"/>
    <w:rsid w:val="008B1757"/>
    <w:rsid w:val="00901532"/>
    <w:rsid w:val="009048E1"/>
    <w:rsid w:val="00920FC5"/>
    <w:rsid w:val="009223A8"/>
    <w:rsid w:val="009244DA"/>
    <w:rsid w:val="00926A3A"/>
    <w:rsid w:val="00930F60"/>
    <w:rsid w:val="00931281"/>
    <w:rsid w:val="00965696"/>
    <w:rsid w:val="00972A43"/>
    <w:rsid w:val="00974379"/>
    <w:rsid w:val="009B06E9"/>
    <w:rsid w:val="009C49F8"/>
    <w:rsid w:val="00A0194D"/>
    <w:rsid w:val="00A032D6"/>
    <w:rsid w:val="00A05B23"/>
    <w:rsid w:val="00A10802"/>
    <w:rsid w:val="00A11DA1"/>
    <w:rsid w:val="00A134DC"/>
    <w:rsid w:val="00A56113"/>
    <w:rsid w:val="00A93D46"/>
    <w:rsid w:val="00AB0895"/>
    <w:rsid w:val="00AC339C"/>
    <w:rsid w:val="00AD3326"/>
    <w:rsid w:val="00AE67F3"/>
    <w:rsid w:val="00AF4C38"/>
    <w:rsid w:val="00B076A1"/>
    <w:rsid w:val="00B14C5F"/>
    <w:rsid w:val="00B14D7B"/>
    <w:rsid w:val="00B16A05"/>
    <w:rsid w:val="00B22139"/>
    <w:rsid w:val="00B25AD2"/>
    <w:rsid w:val="00B50101"/>
    <w:rsid w:val="00B54C62"/>
    <w:rsid w:val="00B65A4D"/>
    <w:rsid w:val="00B7188F"/>
    <w:rsid w:val="00B75300"/>
    <w:rsid w:val="00B82EBA"/>
    <w:rsid w:val="00B92360"/>
    <w:rsid w:val="00BA126F"/>
    <w:rsid w:val="00BA4717"/>
    <w:rsid w:val="00BC43DA"/>
    <w:rsid w:val="00BC7CCA"/>
    <w:rsid w:val="00BD1319"/>
    <w:rsid w:val="00BD34F5"/>
    <w:rsid w:val="00BF31E1"/>
    <w:rsid w:val="00C007AE"/>
    <w:rsid w:val="00C01EB5"/>
    <w:rsid w:val="00C16FCE"/>
    <w:rsid w:val="00C26B4C"/>
    <w:rsid w:val="00C44616"/>
    <w:rsid w:val="00C55B7E"/>
    <w:rsid w:val="00C5732B"/>
    <w:rsid w:val="00CB09DC"/>
    <w:rsid w:val="00CB7F7F"/>
    <w:rsid w:val="00CD661D"/>
    <w:rsid w:val="00CE1CAC"/>
    <w:rsid w:val="00D11F92"/>
    <w:rsid w:val="00D216C2"/>
    <w:rsid w:val="00D45418"/>
    <w:rsid w:val="00D523C0"/>
    <w:rsid w:val="00D56C2F"/>
    <w:rsid w:val="00D86EBE"/>
    <w:rsid w:val="00D9524B"/>
    <w:rsid w:val="00DB5C84"/>
    <w:rsid w:val="00E14683"/>
    <w:rsid w:val="00E41D27"/>
    <w:rsid w:val="00E60A78"/>
    <w:rsid w:val="00E60BA8"/>
    <w:rsid w:val="00E8143A"/>
    <w:rsid w:val="00E90B9E"/>
    <w:rsid w:val="00EC32F8"/>
    <w:rsid w:val="00ED6673"/>
    <w:rsid w:val="00EF707A"/>
    <w:rsid w:val="00EF7474"/>
    <w:rsid w:val="00F03D89"/>
    <w:rsid w:val="00F156E7"/>
    <w:rsid w:val="00F174D5"/>
    <w:rsid w:val="00F24402"/>
    <w:rsid w:val="00F30217"/>
    <w:rsid w:val="00F316AA"/>
    <w:rsid w:val="00F35AB5"/>
    <w:rsid w:val="00F40560"/>
    <w:rsid w:val="00F62D63"/>
    <w:rsid w:val="00F758EF"/>
    <w:rsid w:val="00F80209"/>
    <w:rsid w:val="00F94341"/>
    <w:rsid w:val="00FC044D"/>
    <w:rsid w:val="00FC299E"/>
    <w:rsid w:val="00FC391F"/>
    <w:rsid w:val="00FE1697"/>
    <w:rsid w:val="00FE2BCB"/>
    <w:rsid w:val="060F8247"/>
    <w:rsid w:val="0621F340"/>
    <w:rsid w:val="097DE243"/>
    <w:rsid w:val="0CD391EC"/>
    <w:rsid w:val="0DB1CA6B"/>
    <w:rsid w:val="0E435AF4"/>
    <w:rsid w:val="12D3C583"/>
    <w:rsid w:val="14C97837"/>
    <w:rsid w:val="2D027E09"/>
    <w:rsid w:val="2D18EBA7"/>
    <w:rsid w:val="3114C81D"/>
    <w:rsid w:val="32228B57"/>
    <w:rsid w:val="32EADFC6"/>
    <w:rsid w:val="38DC702C"/>
    <w:rsid w:val="41D955A3"/>
    <w:rsid w:val="45055C16"/>
    <w:rsid w:val="49AC81CF"/>
    <w:rsid w:val="4EB46216"/>
    <w:rsid w:val="51370DA2"/>
    <w:rsid w:val="5C7A8ECD"/>
    <w:rsid w:val="60A221B5"/>
    <w:rsid w:val="62BC1BAB"/>
    <w:rsid w:val="6A07DE13"/>
    <w:rsid w:val="719E4E1C"/>
    <w:rsid w:val="758C9B1A"/>
    <w:rsid w:val="7A2086C8"/>
    <w:rsid w:val="7CA03A04"/>
    <w:rsid w:val="7F2BA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DE1F7F"/>
  <w14:defaultImageDpi w14:val="32767"/>
  <w15:chartTrackingRefBased/>
  <w15:docId w15:val="{43934D83-74EE-487B-A108-8B81AAEDB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ullets" w:customStyle="1">
    <w:name w:val="Bullets"/>
    <w:basedOn w:val="Body"/>
    <w:qFormat/>
    <w:rsid w:val="005820E4"/>
    <w:pPr>
      <w:numPr>
        <w:numId w:val="1"/>
      </w:numPr>
    </w:pPr>
    <w:rPr>
      <w:lang w:bidi="hi-IN"/>
    </w:rPr>
  </w:style>
  <w:style w:type="paragraph" w:styleId="SectionHeading" w:customStyle="1">
    <w:name w:val="Section Heading"/>
    <w:next w:val="Heading"/>
    <w:qFormat/>
    <w:rsid w:val="005820E4"/>
    <w:pPr>
      <w:spacing w:after="360"/>
      <w:ind w:right="-346"/>
    </w:pPr>
    <w:rPr>
      <w:rFonts w:ascii="Century Gothic" w:hAnsi="Century Gothic"/>
      <w:b/>
      <w:bCs/>
      <w:color w:val="00BABC"/>
      <w:sz w:val="48"/>
      <w:szCs w:val="48"/>
    </w:rPr>
  </w:style>
  <w:style w:type="paragraph" w:styleId="Heading" w:customStyle="1">
    <w:name w:val="Heading"/>
    <w:next w:val="Sub-heading"/>
    <w:qFormat/>
    <w:rsid w:val="005820E4"/>
    <w:pPr>
      <w:spacing w:before="480" w:after="240"/>
      <w:outlineLvl w:val="0"/>
    </w:pPr>
    <w:rPr>
      <w:rFonts w:ascii="Century Gothic" w:hAnsi="Century Gothic"/>
      <w:b/>
      <w:bCs/>
      <w:color w:val="00BABC"/>
      <w:sz w:val="28"/>
      <w:szCs w:val="28"/>
    </w:rPr>
  </w:style>
  <w:style w:type="paragraph" w:styleId="Sub-heading" w:customStyle="1">
    <w:name w:val="Sub-heading"/>
    <w:next w:val="Body"/>
    <w:qFormat/>
    <w:rsid w:val="00D11F92"/>
    <w:pPr>
      <w:spacing w:before="240" w:after="120"/>
      <w:outlineLvl w:val="0"/>
    </w:pPr>
    <w:rPr>
      <w:rFonts w:ascii="Century Gothic" w:hAnsi="Century Gothic"/>
      <w:b/>
      <w:bCs/>
    </w:rPr>
  </w:style>
  <w:style w:type="paragraph" w:styleId="Body" w:customStyle="1">
    <w:name w:val="Body"/>
    <w:basedOn w:val="Normal"/>
    <w:qFormat/>
    <w:rsid w:val="00032738"/>
    <w:pPr>
      <w:spacing w:after="120" w:line="264" w:lineRule="auto"/>
    </w:pPr>
    <w:rPr>
      <w:rFonts w:ascii="Arial" w:hAnsi="Arial" w:cs="Arial"/>
      <w:bCs/>
      <w:sz w:val="20"/>
      <w:szCs w:val="20"/>
    </w:rPr>
  </w:style>
  <w:style w:type="paragraph" w:styleId="NoSpacing">
    <w:name w:val="No Spacing"/>
    <w:link w:val="NoSpacingChar"/>
    <w:uiPriority w:val="1"/>
    <w:qFormat/>
    <w:rsid w:val="00F316AA"/>
    <w:rPr>
      <w:rFonts w:eastAsiaTheme="minorEastAsia"/>
      <w:sz w:val="22"/>
      <w:szCs w:val="22"/>
      <w:lang w:val="en-US" w:eastAsia="zh-CN"/>
    </w:rPr>
  </w:style>
  <w:style w:type="character" w:styleId="NoSpacingChar" w:customStyle="1">
    <w:name w:val="No Spacing Char"/>
    <w:basedOn w:val="DefaultParagraphFont"/>
    <w:link w:val="NoSpacing"/>
    <w:uiPriority w:val="1"/>
    <w:rsid w:val="00F316AA"/>
    <w:rPr>
      <w:rFonts w:eastAsiaTheme="minorEastAsia"/>
      <w:sz w:val="22"/>
      <w:szCs w:val="22"/>
      <w:lang w:val="en-US" w:eastAsia="zh-CN"/>
    </w:rPr>
  </w:style>
  <w:style w:type="paragraph" w:styleId="Header">
    <w:name w:val="header"/>
    <w:basedOn w:val="Normal"/>
    <w:link w:val="HeaderChar"/>
    <w:uiPriority w:val="99"/>
    <w:unhideWhenUsed/>
    <w:rsid w:val="00F316AA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F316AA"/>
  </w:style>
  <w:style w:type="paragraph" w:styleId="Footer">
    <w:name w:val="footer"/>
    <w:basedOn w:val="Normal"/>
    <w:link w:val="FooterChar"/>
    <w:uiPriority w:val="99"/>
    <w:unhideWhenUsed/>
    <w:rsid w:val="00F316AA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F316AA"/>
  </w:style>
  <w:style w:type="character" w:styleId="PageNumber">
    <w:name w:val="page number"/>
    <w:basedOn w:val="DefaultParagraphFont"/>
    <w:uiPriority w:val="99"/>
    <w:semiHidden/>
    <w:unhideWhenUsed/>
    <w:rsid w:val="00F316AA"/>
  </w:style>
  <w:style w:type="numbering" w:styleId="CurrentList1" w:customStyle="1">
    <w:name w:val="Current List1"/>
    <w:uiPriority w:val="99"/>
    <w:rsid w:val="005820E4"/>
    <w:pPr>
      <w:numPr>
        <w:numId w:val="2"/>
      </w:numPr>
    </w:pPr>
  </w:style>
  <w:style w:type="table" w:styleId="TableGrid">
    <w:name w:val="Table Grid"/>
    <w:basedOn w:val="TableNormal"/>
    <w:uiPriority w:val="39"/>
    <w:rsid w:val="00785E4C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GridTable5Dark-Accent2">
    <w:name w:val="Grid Table 5 Dark Accent 2"/>
    <w:basedOn w:val="TableNormal"/>
    <w:uiPriority w:val="50"/>
    <w:rsid w:val="00785E4C"/>
    <w:tblPr>
      <w:tblStyleRowBandSize w:val="1"/>
      <w:tblStyleColBandSize w:val="1"/>
      <w:tblBorders>
        <w:top w:val="single" w:color="FEFFFF" w:themeColor="background1" w:sz="4" w:space="0"/>
        <w:left w:val="single" w:color="FEFFFF" w:themeColor="background1" w:sz="4" w:space="0"/>
        <w:bottom w:val="single" w:color="FEFFFF" w:themeColor="background1" w:sz="4" w:space="0"/>
        <w:right w:val="single" w:color="FEFFFF" w:themeColor="background1" w:sz="4" w:space="0"/>
        <w:insideH w:val="single" w:color="FEFFFF" w:themeColor="background1" w:sz="4" w:space="0"/>
        <w:insideV w:val="single" w:color="FEFFFF" w:themeColor="background1" w:sz="4" w:space="0"/>
      </w:tblBorders>
    </w:tblPr>
    <w:tcPr>
      <w:shd w:val="clear" w:color="auto" w:fill="BFFEFF" w:themeFill="accent2" w:themeFillTint="33"/>
    </w:tcPr>
    <w:tblStylePr w:type="firstRow">
      <w:rPr>
        <w:b/>
        <w:bCs/>
        <w:color w:val="FEFFFF" w:themeColor="background1"/>
      </w:rPr>
      <w:tblPr/>
      <w:tcPr>
        <w:tcBorders>
          <w:top w:val="single" w:color="FEFFFF" w:themeColor="background1" w:sz="4" w:space="0"/>
          <w:left w:val="single" w:color="FEFFFF" w:themeColor="background1" w:sz="4" w:space="0"/>
          <w:right w:val="single" w:color="FEFFFF" w:themeColor="background1" w:sz="4" w:space="0"/>
          <w:insideH w:val="nil"/>
          <w:insideV w:val="nil"/>
        </w:tcBorders>
        <w:shd w:val="clear" w:color="auto" w:fill="00BDBE" w:themeFill="accent2"/>
      </w:tcPr>
    </w:tblStylePr>
    <w:tblStylePr w:type="lastRow">
      <w:rPr>
        <w:b/>
        <w:bCs/>
        <w:color w:val="FEFFFF" w:themeColor="background1"/>
      </w:rPr>
      <w:tblPr/>
      <w:tcPr>
        <w:tcBorders>
          <w:left w:val="single" w:color="FEFFFF" w:themeColor="background1" w:sz="4" w:space="0"/>
          <w:bottom w:val="single" w:color="FEFFFF" w:themeColor="background1" w:sz="4" w:space="0"/>
          <w:right w:val="single" w:color="FEFFFF" w:themeColor="background1" w:sz="4" w:space="0"/>
          <w:insideH w:val="nil"/>
          <w:insideV w:val="nil"/>
        </w:tcBorders>
        <w:shd w:val="clear" w:color="auto" w:fill="00BDBE" w:themeFill="accent2"/>
      </w:tcPr>
    </w:tblStylePr>
    <w:tblStylePr w:type="firstCol">
      <w:rPr>
        <w:b/>
        <w:bCs/>
        <w:color w:val="FEFFFF" w:themeColor="background1"/>
      </w:rPr>
      <w:tblPr/>
      <w:tcPr>
        <w:tcBorders>
          <w:top w:val="single" w:color="FEFFFF" w:themeColor="background1" w:sz="4" w:space="0"/>
          <w:left w:val="single" w:color="FEFFFF" w:themeColor="background1" w:sz="4" w:space="0"/>
          <w:bottom w:val="single" w:color="FEFFFF" w:themeColor="background1" w:sz="4" w:space="0"/>
          <w:insideV w:val="nil"/>
        </w:tcBorders>
        <w:shd w:val="clear" w:color="auto" w:fill="00BDBE" w:themeFill="accent2"/>
      </w:tcPr>
    </w:tblStylePr>
    <w:tblStylePr w:type="lastCol">
      <w:rPr>
        <w:b/>
        <w:bCs/>
        <w:color w:val="FEFFFF" w:themeColor="background1"/>
      </w:rPr>
      <w:tblPr/>
      <w:tcPr>
        <w:tcBorders>
          <w:top w:val="single" w:color="FEFFFF" w:themeColor="background1" w:sz="4" w:space="0"/>
          <w:bottom w:val="single" w:color="FEFFFF" w:themeColor="background1" w:sz="4" w:space="0"/>
          <w:right w:val="single" w:color="FEFFFF" w:themeColor="background1" w:sz="4" w:space="0"/>
          <w:insideV w:val="nil"/>
        </w:tcBorders>
        <w:shd w:val="clear" w:color="auto" w:fill="00BDBE" w:themeFill="accent2"/>
      </w:tcPr>
    </w:tblStylePr>
    <w:tblStylePr w:type="band1Vert">
      <w:tblPr/>
      <w:tcPr>
        <w:shd w:val="clear" w:color="auto" w:fill="7FFDFF" w:themeFill="accent2" w:themeFillTint="66"/>
      </w:tcPr>
    </w:tblStylePr>
    <w:tblStylePr w:type="band1Horz">
      <w:tblPr/>
      <w:tcPr>
        <w:shd w:val="clear" w:color="auto" w:fill="7FFDFF" w:themeFill="accent2" w:themeFillTint="66"/>
      </w:tcPr>
    </w:tblStylePr>
  </w:style>
  <w:style w:type="table" w:styleId="GridTable5Dark-Accent5">
    <w:name w:val="Grid Table 5 Dark Accent 5"/>
    <w:basedOn w:val="TableNormal"/>
    <w:uiPriority w:val="50"/>
    <w:rsid w:val="00785E4C"/>
    <w:tblPr>
      <w:tblStyleRowBandSize w:val="1"/>
      <w:tblStyleColBandSize w:val="1"/>
      <w:tblBorders>
        <w:top w:val="single" w:color="FEFFFF" w:themeColor="background1" w:sz="4" w:space="0"/>
        <w:left w:val="single" w:color="FEFFFF" w:themeColor="background1" w:sz="4" w:space="0"/>
        <w:bottom w:val="single" w:color="FEFFFF" w:themeColor="background1" w:sz="4" w:space="0"/>
        <w:right w:val="single" w:color="FEFFFF" w:themeColor="background1" w:sz="4" w:space="0"/>
        <w:insideH w:val="single" w:color="FEFFFF" w:themeColor="background1" w:sz="4" w:space="0"/>
        <w:insideV w:val="single" w:color="FEFFFF" w:themeColor="background1" w:sz="4" w:space="0"/>
      </w:tblBorders>
    </w:tblPr>
    <w:tcPr>
      <w:shd w:val="clear" w:color="auto" w:fill="FFF5CB" w:themeFill="accent5" w:themeFillTint="33"/>
    </w:tcPr>
    <w:tblStylePr w:type="firstRow">
      <w:rPr>
        <w:b/>
        <w:bCs/>
        <w:color w:val="FEFFFF" w:themeColor="background1"/>
      </w:rPr>
      <w:tblPr/>
      <w:tcPr>
        <w:tcBorders>
          <w:top w:val="single" w:color="FEFFFF" w:themeColor="background1" w:sz="4" w:space="0"/>
          <w:left w:val="single" w:color="FEFFFF" w:themeColor="background1" w:sz="4" w:space="0"/>
          <w:right w:val="single" w:color="FEFFFF" w:themeColor="background1" w:sz="4" w:space="0"/>
          <w:insideH w:val="nil"/>
          <w:insideV w:val="nil"/>
        </w:tcBorders>
        <w:shd w:val="clear" w:color="auto" w:fill="FECE00" w:themeFill="accent5"/>
      </w:tcPr>
    </w:tblStylePr>
    <w:tblStylePr w:type="lastRow">
      <w:rPr>
        <w:b/>
        <w:bCs/>
        <w:color w:val="FEFFFF" w:themeColor="background1"/>
      </w:rPr>
      <w:tblPr/>
      <w:tcPr>
        <w:tcBorders>
          <w:left w:val="single" w:color="FEFFFF" w:themeColor="background1" w:sz="4" w:space="0"/>
          <w:bottom w:val="single" w:color="FEFFFF" w:themeColor="background1" w:sz="4" w:space="0"/>
          <w:right w:val="single" w:color="FEFFFF" w:themeColor="background1" w:sz="4" w:space="0"/>
          <w:insideH w:val="nil"/>
          <w:insideV w:val="nil"/>
        </w:tcBorders>
        <w:shd w:val="clear" w:color="auto" w:fill="FECE00" w:themeFill="accent5"/>
      </w:tcPr>
    </w:tblStylePr>
    <w:tblStylePr w:type="firstCol">
      <w:rPr>
        <w:b/>
        <w:bCs/>
        <w:color w:val="FEFFFF" w:themeColor="background1"/>
      </w:rPr>
      <w:tblPr/>
      <w:tcPr>
        <w:tcBorders>
          <w:top w:val="single" w:color="FEFFFF" w:themeColor="background1" w:sz="4" w:space="0"/>
          <w:left w:val="single" w:color="FEFFFF" w:themeColor="background1" w:sz="4" w:space="0"/>
          <w:bottom w:val="single" w:color="FEFFFF" w:themeColor="background1" w:sz="4" w:space="0"/>
          <w:insideV w:val="nil"/>
        </w:tcBorders>
        <w:shd w:val="clear" w:color="auto" w:fill="FECE00" w:themeFill="accent5"/>
      </w:tcPr>
    </w:tblStylePr>
    <w:tblStylePr w:type="lastCol">
      <w:rPr>
        <w:b/>
        <w:bCs/>
        <w:color w:val="FEFFFF" w:themeColor="background1"/>
      </w:rPr>
      <w:tblPr/>
      <w:tcPr>
        <w:tcBorders>
          <w:top w:val="single" w:color="FEFFFF" w:themeColor="background1" w:sz="4" w:space="0"/>
          <w:bottom w:val="single" w:color="FEFFFF" w:themeColor="background1" w:sz="4" w:space="0"/>
          <w:right w:val="single" w:color="FEFFFF" w:themeColor="background1" w:sz="4" w:space="0"/>
          <w:insideV w:val="nil"/>
        </w:tcBorders>
        <w:shd w:val="clear" w:color="auto" w:fill="FECE00" w:themeFill="accent5"/>
      </w:tcPr>
    </w:tblStylePr>
    <w:tblStylePr w:type="band1Vert">
      <w:tblPr/>
      <w:tcPr>
        <w:shd w:val="clear" w:color="auto" w:fill="FFEB98" w:themeFill="accent5" w:themeFillTint="66"/>
      </w:tcPr>
    </w:tblStylePr>
    <w:tblStylePr w:type="band1Horz">
      <w:tblPr/>
      <w:tcPr>
        <w:shd w:val="clear" w:color="auto" w:fill="FFEB98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785E4C"/>
    <w:tblPr>
      <w:tblStyleRowBandSize w:val="1"/>
      <w:tblStyleColBandSize w:val="1"/>
      <w:tblBorders>
        <w:top w:val="single" w:color="FEFFFF" w:themeColor="background1" w:sz="4" w:space="0"/>
        <w:left w:val="single" w:color="FEFFFF" w:themeColor="background1" w:sz="4" w:space="0"/>
        <w:bottom w:val="single" w:color="FEFFFF" w:themeColor="background1" w:sz="4" w:space="0"/>
        <w:right w:val="single" w:color="FEFFFF" w:themeColor="background1" w:sz="4" w:space="0"/>
        <w:insideH w:val="single" w:color="FEFFFF" w:themeColor="background1" w:sz="4" w:space="0"/>
        <w:insideV w:val="single" w:color="FEFFFF" w:themeColor="background1" w:sz="4" w:space="0"/>
      </w:tblBorders>
    </w:tblPr>
    <w:tcPr>
      <w:shd w:val="clear" w:color="auto" w:fill="FDF2F7" w:themeFill="accent6" w:themeFillTint="33"/>
    </w:tcPr>
    <w:tblStylePr w:type="firstRow">
      <w:rPr>
        <w:b/>
        <w:bCs/>
        <w:color w:val="FEFFFF" w:themeColor="background1"/>
      </w:rPr>
      <w:tblPr/>
      <w:tcPr>
        <w:tcBorders>
          <w:top w:val="single" w:color="FEFFFF" w:themeColor="background1" w:sz="4" w:space="0"/>
          <w:left w:val="single" w:color="FEFFFF" w:themeColor="background1" w:sz="4" w:space="0"/>
          <w:right w:val="single" w:color="FEFFFF" w:themeColor="background1" w:sz="4" w:space="0"/>
          <w:insideH w:val="nil"/>
          <w:insideV w:val="nil"/>
        </w:tcBorders>
        <w:shd w:val="clear" w:color="auto" w:fill="F7C0D9" w:themeFill="accent6"/>
      </w:tcPr>
    </w:tblStylePr>
    <w:tblStylePr w:type="lastRow">
      <w:rPr>
        <w:b/>
        <w:bCs/>
        <w:color w:val="FEFFFF" w:themeColor="background1"/>
      </w:rPr>
      <w:tblPr/>
      <w:tcPr>
        <w:tcBorders>
          <w:left w:val="single" w:color="FEFFFF" w:themeColor="background1" w:sz="4" w:space="0"/>
          <w:bottom w:val="single" w:color="FEFFFF" w:themeColor="background1" w:sz="4" w:space="0"/>
          <w:right w:val="single" w:color="FEFFFF" w:themeColor="background1" w:sz="4" w:space="0"/>
          <w:insideH w:val="nil"/>
          <w:insideV w:val="nil"/>
        </w:tcBorders>
        <w:shd w:val="clear" w:color="auto" w:fill="F7C0D9" w:themeFill="accent6"/>
      </w:tcPr>
    </w:tblStylePr>
    <w:tblStylePr w:type="firstCol">
      <w:rPr>
        <w:b/>
        <w:bCs/>
        <w:color w:val="FEFFFF" w:themeColor="background1"/>
      </w:rPr>
      <w:tblPr/>
      <w:tcPr>
        <w:tcBorders>
          <w:top w:val="single" w:color="FEFFFF" w:themeColor="background1" w:sz="4" w:space="0"/>
          <w:left w:val="single" w:color="FEFFFF" w:themeColor="background1" w:sz="4" w:space="0"/>
          <w:bottom w:val="single" w:color="FEFFFF" w:themeColor="background1" w:sz="4" w:space="0"/>
          <w:insideV w:val="nil"/>
        </w:tcBorders>
        <w:shd w:val="clear" w:color="auto" w:fill="F7C0D9" w:themeFill="accent6"/>
      </w:tcPr>
    </w:tblStylePr>
    <w:tblStylePr w:type="lastCol">
      <w:rPr>
        <w:b/>
        <w:bCs/>
        <w:color w:val="FEFFFF" w:themeColor="background1"/>
      </w:rPr>
      <w:tblPr/>
      <w:tcPr>
        <w:tcBorders>
          <w:top w:val="single" w:color="FEFFFF" w:themeColor="background1" w:sz="4" w:space="0"/>
          <w:bottom w:val="single" w:color="FEFFFF" w:themeColor="background1" w:sz="4" w:space="0"/>
          <w:right w:val="single" w:color="FEFFFF" w:themeColor="background1" w:sz="4" w:space="0"/>
          <w:insideV w:val="nil"/>
        </w:tcBorders>
        <w:shd w:val="clear" w:color="auto" w:fill="F7C0D9" w:themeFill="accent6"/>
      </w:tcPr>
    </w:tblStylePr>
    <w:tblStylePr w:type="band1Vert">
      <w:tblPr/>
      <w:tcPr>
        <w:shd w:val="clear" w:color="auto" w:fill="FBE5EF" w:themeFill="accent6" w:themeFillTint="66"/>
      </w:tcPr>
    </w:tblStylePr>
    <w:tblStylePr w:type="band1Horz">
      <w:tblPr/>
      <w:tcPr>
        <w:shd w:val="clear" w:color="auto" w:fill="FBE5EF" w:themeFill="accent6" w:themeFillTint="66"/>
      </w:tcPr>
    </w:tblStylePr>
  </w:style>
  <w:style w:type="table" w:styleId="GridTable5Dark-Accent4">
    <w:name w:val="Grid Table 5 Dark Accent 4"/>
    <w:basedOn w:val="TableNormal"/>
    <w:uiPriority w:val="50"/>
    <w:rsid w:val="00785E4C"/>
    <w:tblPr>
      <w:tblStyleRowBandSize w:val="1"/>
      <w:tblStyleColBandSize w:val="1"/>
      <w:tblBorders>
        <w:top w:val="single" w:color="FEFFFF" w:themeColor="background1" w:sz="4" w:space="0"/>
        <w:left w:val="single" w:color="FEFFFF" w:themeColor="background1" w:sz="4" w:space="0"/>
        <w:bottom w:val="single" w:color="FEFFFF" w:themeColor="background1" w:sz="4" w:space="0"/>
        <w:right w:val="single" w:color="FEFFFF" w:themeColor="background1" w:sz="4" w:space="0"/>
        <w:insideH w:val="single" w:color="FEFFFF" w:themeColor="background1" w:sz="4" w:space="0"/>
        <w:insideV w:val="single" w:color="FEFFFF" w:themeColor="background1" w:sz="4" w:space="0"/>
      </w:tblBorders>
    </w:tblPr>
    <w:tcPr>
      <w:shd w:val="clear" w:color="auto" w:fill="FBD7D4" w:themeFill="accent4" w:themeFillTint="33"/>
    </w:tcPr>
    <w:tblStylePr w:type="firstRow">
      <w:rPr>
        <w:b/>
        <w:bCs/>
        <w:color w:val="FEFFFF" w:themeColor="background1"/>
      </w:rPr>
      <w:tblPr/>
      <w:tcPr>
        <w:tcBorders>
          <w:top w:val="single" w:color="FEFFFF" w:themeColor="background1" w:sz="4" w:space="0"/>
          <w:left w:val="single" w:color="FEFFFF" w:themeColor="background1" w:sz="4" w:space="0"/>
          <w:right w:val="single" w:color="FEFFFF" w:themeColor="background1" w:sz="4" w:space="0"/>
          <w:insideH w:val="nil"/>
          <w:insideV w:val="nil"/>
        </w:tcBorders>
        <w:shd w:val="clear" w:color="auto" w:fill="EE3D2D" w:themeFill="accent4"/>
      </w:tcPr>
    </w:tblStylePr>
    <w:tblStylePr w:type="lastRow">
      <w:rPr>
        <w:b/>
        <w:bCs/>
        <w:color w:val="FEFFFF" w:themeColor="background1"/>
      </w:rPr>
      <w:tblPr/>
      <w:tcPr>
        <w:tcBorders>
          <w:left w:val="single" w:color="FEFFFF" w:themeColor="background1" w:sz="4" w:space="0"/>
          <w:bottom w:val="single" w:color="FEFFFF" w:themeColor="background1" w:sz="4" w:space="0"/>
          <w:right w:val="single" w:color="FEFFFF" w:themeColor="background1" w:sz="4" w:space="0"/>
          <w:insideH w:val="nil"/>
          <w:insideV w:val="nil"/>
        </w:tcBorders>
        <w:shd w:val="clear" w:color="auto" w:fill="EE3D2D" w:themeFill="accent4"/>
      </w:tcPr>
    </w:tblStylePr>
    <w:tblStylePr w:type="firstCol">
      <w:rPr>
        <w:b/>
        <w:bCs/>
        <w:color w:val="FEFFFF" w:themeColor="background1"/>
      </w:rPr>
      <w:tblPr/>
      <w:tcPr>
        <w:tcBorders>
          <w:top w:val="single" w:color="FEFFFF" w:themeColor="background1" w:sz="4" w:space="0"/>
          <w:left w:val="single" w:color="FEFFFF" w:themeColor="background1" w:sz="4" w:space="0"/>
          <w:bottom w:val="single" w:color="FEFFFF" w:themeColor="background1" w:sz="4" w:space="0"/>
          <w:insideV w:val="nil"/>
        </w:tcBorders>
        <w:shd w:val="clear" w:color="auto" w:fill="EE3D2D" w:themeFill="accent4"/>
      </w:tcPr>
    </w:tblStylePr>
    <w:tblStylePr w:type="lastCol">
      <w:rPr>
        <w:b/>
        <w:bCs/>
        <w:color w:val="FEFFFF" w:themeColor="background1"/>
      </w:rPr>
      <w:tblPr/>
      <w:tcPr>
        <w:tcBorders>
          <w:top w:val="single" w:color="FEFFFF" w:themeColor="background1" w:sz="4" w:space="0"/>
          <w:bottom w:val="single" w:color="FEFFFF" w:themeColor="background1" w:sz="4" w:space="0"/>
          <w:right w:val="single" w:color="FEFFFF" w:themeColor="background1" w:sz="4" w:space="0"/>
          <w:insideV w:val="nil"/>
        </w:tcBorders>
        <w:shd w:val="clear" w:color="auto" w:fill="EE3D2D" w:themeFill="accent4"/>
      </w:tcPr>
    </w:tblStylePr>
    <w:tblStylePr w:type="band1Vert">
      <w:tblPr/>
      <w:tcPr>
        <w:shd w:val="clear" w:color="auto" w:fill="F8B1AA" w:themeFill="accent4" w:themeFillTint="66"/>
      </w:tcPr>
    </w:tblStylePr>
    <w:tblStylePr w:type="band1Horz">
      <w:tblPr/>
      <w:tcPr>
        <w:shd w:val="clear" w:color="auto" w:fill="F8B1AA" w:themeFill="accent4" w:themeFillTint="66"/>
      </w:tcPr>
    </w:tblStylePr>
  </w:style>
  <w:style w:type="table" w:styleId="GridTable5Dark-Accent1">
    <w:name w:val="Grid Table 5 Dark Accent 1"/>
    <w:basedOn w:val="TableNormal"/>
    <w:uiPriority w:val="50"/>
    <w:rsid w:val="00785E4C"/>
    <w:tblPr>
      <w:tblStyleRowBandSize w:val="1"/>
      <w:tblStyleColBandSize w:val="1"/>
      <w:tblBorders>
        <w:top w:val="single" w:color="FEFFFF" w:themeColor="background1" w:sz="4" w:space="0"/>
        <w:left w:val="single" w:color="FEFFFF" w:themeColor="background1" w:sz="4" w:space="0"/>
        <w:bottom w:val="single" w:color="FEFFFF" w:themeColor="background1" w:sz="4" w:space="0"/>
        <w:right w:val="single" w:color="FEFFFF" w:themeColor="background1" w:sz="4" w:space="0"/>
        <w:insideH w:val="single" w:color="FEFFFF" w:themeColor="background1" w:sz="4" w:space="0"/>
        <w:insideV w:val="single" w:color="FEFFFF" w:themeColor="background1" w:sz="4" w:space="0"/>
      </w:tblBorders>
    </w:tblPr>
    <w:tcPr>
      <w:shd w:val="clear" w:color="auto" w:fill="E3D7ED" w:themeFill="accent1" w:themeFillTint="33"/>
    </w:tcPr>
    <w:tblStylePr w:type="firstRow">
      <w:rPr>
        <w:b/>
        <w:bCs/>
        <w:color w:val="FEFFFF" w:themeColor="background1"/>
      </w:rPr>
      <w:tblPr/>
      <w:tcPr>
        <w:tcBorders>
          <w:top w:val="single" w:color="FEFFFF" w:themeColor="background1" w:sz="4" w:space="0"/>
          <w:left w:val="single" w:color="FEFFFF" w:themeColor="background1" w:sz="4" w:space="0"/>
          <w:right w:val="single" w:color="FEFFFF" w:themeColor="background1" w:sz="4" w:space="0"/>
          <w:insideH w:val="nil"/>
          <w:insideV w:val="nil"/>
        </w:tcBorders>
        <w:shd w:val="clear" w:color="auto" w:fill="75479B" w:themeFill="accent1"/>
      </w:tcPr>
    </w:tblStylePr>
    <w:tblStylePr w:type="lastRow">
      <w:rPr>
        <w:b/>
        <w:bCs/>
        <w:color w:val="FEFFFF" w:themeColor="background1"/>
      </w:rPr>
      <w:tblPr/>
      <w:tcPr>
        <w:tcBorders>
          <w:left w:val="single" w:color="FEFFFF" w:themeColor="background1" w:sz="4" w:space="0"/>
          <w:bottom w:val="single" w:color="FEFFFF" w:themeColor="background1" w:sz="4" w:space="0"/>
          <w:right w:val="single" w:color="FEFFFF" w:themeColor="background1" w:sz="4" w:space="0"/>
          <w:insideH w:val="nil"/>
          <w:insideV w:val="nil"/>
        </w:tcBorders>
        <w:shd w:val="clear" w:color="auto" w:fill="75479B" w:themeFill="accent1"/>
      </w:tcPr>
    </w:tblStylePr>
    <w:tblStylePr w:type="firstCol">
      <w:rPr>
        <w:b/>
        <w:bCs/>
        <w:color w:val="FEFFFF" w:themeColor="background1"/>
      </w:rPr>
      <w:tblPr/>
      <w:tcPr>
        <w:tcBorders>
          <w:top w:val="single" w:color="FEFFFF" w:themeColor="background1" w:sz="4" w:space="0"/>
          <w:left w:val="single" w:color="FEFFFF" w:themeColor="background1" w:sz="4" w:space="0"/>
          <w:bottom w:val="single" w:color="FEFFFF" w:themeColor="background1" w:sz="4" w:space="0"/>
          <w:insideV w:val="nil"/>
        </w:tcBorders>
        <w:shd w:val="clear" w:color="auto" w:fill="75479B" w:themeFill="accent1"/>
      </w:tcPr>
    </w:tblStylePr>
    <w:tblStylePr w:type="lastCol">
      <w:rPr>
        <w:b/>
        <w:bCs/>
        <w:color w:val="FEFFFF" w:themeColor="background1"/>
      </w:rPr>
      <w:tblPr/>
      <w:tcPr>
        <w:tcBorders>
          <w:top w:val="single" w:color="FEFFFF" w:themeColor="background1" w:sz="4" w:space="0"/>
          <w:bottom w:val="single" w:color="FEFFFF" w:themeColor="background1" w:sz="4" w:space="0"/>
          <w:right w:val="single" w:color="FEFFFF" w:themeColor="background1" w:sz="4" w:space="0"/>
          <w:insideV w:val="nil"/>
        </w:tcBorders>
        <w:shd w:val="clear" w:color="auto" w:fill="75479B" w:themeFill="accent1"/>
      </w:tcPr>
    </w:tblStylePr>
    <w:tblStylePr w:type="band1Vert">
      <w:tblPr/>
      <w:tcPr>
        <w:shd w:val="clear" w:color="auto" w:fill="C8B1DB" w:themeFill="accent1" w:themeFillTint="66"/>
      </w:tcPr>
    </w:tblStylePr>
    <w:tblStylePr w:type="band1Horz">
      <w:tblPr/>
      <w:tcPr>
        <w:shd w:val="clear" w:color="auto" w:fill="C8B1DB" w:themeFill="accent1" w:themeFillTint="66"/>
      </w:tcPr>
    </w:tblStylePr>
  </w:style>
  <w:style w:type="table" w:styleId="GridTable5Dark">
    <w:name w:val="Grid Table 5 Dark"/>
    <w:basedOn w:val="TableNormal"/>
    <w:uiPriority w:val="50"/>
    <w:rsid w:val="00785E4C"/>
    <w:tblPr>
      <w:tblStyleRowBandSize w:val="1"/>
      <w:tblStyleColBandSize w:val="1"/>
      <w:tblBorders>
        <w:top w:val="single" w:color="FEFFFF" w:themeColor="background1" w:sz="4" w:space="0"/>
        <w:left w:val="single" w:color="FEFFFF" w:themeColor="background1" w:sz="4" w:space="0"/>
        <w:bottom w:val="single" w:color="FEFFFF" w:themeColor="background1" w:sz="4" w:space="0"/>
        <w:right w:val="single" w:color="FEFFFF" w:themeColor="background1" w:sz="4" w:space="0"/>
        <w:insideH w:val="single" w:color="FEFFFF" w:themeColor="background1" w:sz="4" w:space="0"/>
        <w:insideV w:val="single" w:color="FE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  <w:color w:val="FEFFFF" w:themeColor="background1"/>
      </w:rPr>
      <w:tblPr/>
      <w:tcPr>
        <w:tcBorders>
          <w:top w:val="single" w:color="FEFFFF" w:themeColor="background1" w:sz="4" w:space="0"/>
          <w:left w:val="single" w:color="FEFFFF" w:themeColor="background1" w:sz="4" w:space="0"/>
          <w:right w:val="single" w:color="FEFFFF" w:themeColor="background1" w:sz="4" w:space="0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EFFFF" w:themeColor="background1"/>
      </w:rPr>
      <w:tblPr/>
      <w:tcPr>
        <w:tcBorders>
          <w:left w:val="single" w:color="FEFFFF" w:themeColor="background1" w:sz="4" w:space="0"/>
          <w:bottom w:val="single" w:color="FEFFFF" w:themeColor="background1" w:sz="4" w:space="0"/>
          <w:right w:val="single" w:color="FEFFFF" w:themeColor="background1" w:sz="4" w:space="0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EFFFF" w:themeColor="background1"/>
      </w:rPr>
      <w:tblPr/>
      <w:tcPr>
        <w:tcBorders>
          <w:top w:val="single" w:color="FEFFFF" w:themeColor="background1" w:sz="4" w:space="0"/>
          <w:left w:val="single" w:color="FEFFFF" w:themeColor="background1" w:sz="4" w:space="0"/>
          <w:bottom w:val="single" w:color="FEFFFF" w:themeColor="background1" w:sz="4" w:space="0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EFFFF" w:themeColor="background1"/>
      </w:rPr>
      <w:tblPr/>
      <w:tcPr>
        <w:tcBorders>
          <w:top w:val="single" w:color="FEFFFF" w:themeColor="background1" w:sz="4" w:space="0"/>
          <w:bottom w:val="single" w:color="FEFFFF" w:themeColor="background1" w:sz="4" w:space="0"/>
          <w:right w:val="single" w:color="FEFFFF" w:themeColor="background1" w:sz="4" w:space="0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4-Accent2">
    <w:name w:val="Grid Table 4 Accent 2"/>
    <w:basedOn w:val="TableNormal"/>
    <w:uiPriority w:val="49"/>
    <w:rsid w:val="00785E4C"/>
    <w:tblPr>
      <w:tblStyleRowBandSize w:val="1"/>
      <w:tblStyleColBandSize w:val="1"/>
      <w:tblBorders>
        <w:top w:val="single" w:color="3FFDFF" w:themeColor="accent2" w:themeTint="99" w:sz="4" w:space="0"/>
        <w:left w:val="single" w:color="3FFDFF" w:themeColor="accent2" w:themeTint="99" w:sz="4" w:space="0"/>
        <w:bottom w:val="single" w:color="3FFDFF" w:themeColor="accent2" w:themeTint="99" w:sz="4" w:space="0"/>
        <w:right w:val="single" w:color="3FFDFF" w:themeColor="accent2" w:themeTint="99" w:sz="4" w:space="0"/>
        <w:insideH w:val="single" w:color="3FFDFF" w:themeColor="accent2" w:themeTint="99" w:sz="4" w:space="0"/>
        <w:insideV w:val="single" w:color="3FFDFF" w:themeColor="accent2" w:themeTint="99" w:sz="4" w:space="0"/>
      </w:tblBorders>
    </w:tblPr>
    <w:tblStylePr w:type="firstRow">
      <w:rPr>
        <w:b/>
        <w:bCs/>
        <w:color w:val="FEFFFF" w:themeColor="background1"/>
      </w:rPr>
      <w:tblPr/>
      <w:tcPr>
        <w:tcBorders>
          <w:top w:val="single" w:color="00BDBE" w:themeColor="accent2" w:sz="4" w:space="0"/>
          <w:left w:val="single" w:color="00BDBE" w:themeColor="accent2" w:sz="4" w:space="0"/>
          <w:bottom w:val="single" w:color="00BDBE" w:themeColor="accent2" w:sz="4" w:space="0"/>
          <w:right w:val="single" w:color="00BDBE" w:themeColor="accent2" w:sz="4" w:space="0"/>
          <w:insideH w:val="nil"/>
          <w:insideV w:val="nil"/>
        </w:tcBorders>
        <w:shd w:val="clear" w:color="auto" w:fill="00BDBE" w:themeFill="accent2"/>
      </w:tcPr>
    </w:tblStylePr>
    <w:tblStylePr w:type="lastRow">
      <w:rPr>
        <w:b/>
        <w:bCs/>
      </w:rPr>
      <w:tblPr/>
      <w:tcPr>
        <w:tcBorders>
          <w:top w:val="double" w:color="00BDBE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FEFF" w:themeFill="accent2" w:themeFillTint="33"/>
      </w:tcPr>
    </w:tblStylePr>
    <w:tblStylePr w:type="band1Horz">
      <w:tblPr/>
      <w:tcPr>
        <w:shd w:val="clear" w:color="auto" w:fill="BFFEFF" w:themeFill="accent2" w:themeFillTint="33"/>
      </w:tcPr>
    </w:tblStylePr>
  </w:style>
  <w:style w:type="table" w:styleId="GridTable4-Accent1">
    <w:name w:val="Grid Table 4 Accent 1"/>
    <w:basedOn w:val="TableNormal"/>
    <w:uiPriority w:val="49"/>
    <w:rsid w:val="00785E4C"/>
    <w:tblPr>
      <w:tblStyleRowBandSize w:val="1"/>
      <w:tblStyleColBandSize w:val="1"/>
      <w:tblBorders>
        <w:top w:val="single" w:color="AC89C9" w:themeColor="accent1" w:themeTint="99" w:sz="4" w:space="0"/>
        <w:left w:val="single" w:color="AC89C9" w:themeColor="accent1" w:themeTint="99" w:sz="4" w:space="0"/>
        <w:bottom w:val="single" w:color="AC89C9" w:themeColor="accent1" w:themeTint="99" w:sz="4" w:space="0"/>
        <w:right w:val="single" w:color="AC89C9" w:themeColor="accent1" w:themeTint="99" w:sz="4" w:space="0"/>
        <w:insideH w:val="single" w:color="AC89C9" w:themeColor="accent1" w:themeTint="99" w:sz="4" w:space="0"/>
        <w:insideV w:val="single" w:color="AC89C9" w:themeColor="accent1" w:themeTint="99" w:sz="4" w:space="0"/>
      </w:tblBorders>
    </w:tblPr>
    <w:tblStylePr w:type="firstRow">
      <w:rPr>
        <w:b/>
        <w:bCs/>
        <w:color w:val="FEFFFF" w:themeColor="background1"/>
      </w:rPr>
      <w:tblPr/>
      <w:tcPr>
        <w:tcBorders>
          <w:top w:val="single" w:color="75479B" w:themeColor="accent1" w:sz="4" w:space="0"/>
          <w:left w:val="single" w:color="75479B" w:themeColor="accent1" w:sz="4" w:space="0"/>
          <w:bottom w:val="single" w:color="75479B" w:themeColor="accent1" w:sz="4" w:space="0"/>
          <w:right w:val="single" w:color="75479B" w:themeColor="accent1" w:sz="4" w:space="0"/>
          <w:insideH w:val="nil"/>
          <w:insideV w:val="nil"/>
        </w:tcBorders>
        <w:shd w:val="clear" w:color="auto" w:fill="75479B" w:themeFill="accent1"/>
      </w:tcPr>
    </w:tblStylePr>
    <w:tblStylePr w:type="lastRow">
      <w:rPr>
        <w:b/>
        <w:bCs/>
      </w:rPr>
      <w:tblPr/>
      <w:tcPr>
        <w:tcBorders>
          <w:top w:val="double" w:color="75479B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D7ED" w:themeFill="accent1" w:themeFillTint="33"/>
      </w:tcPr>
    </w:tblStylePr>
    <w:tblStylePr w:type="band1Horz">
      <w:tblPr/>
      <w:tcPr>
        <w:shd w:val="clear" w:color="auto" w:fill="E3D7ED" w:themeFill="accent1" w:themeFillTint="33"/>
      </w:tcPr>
    </w:tblStylePr>
  </w:style>
  <w:style w:type="table" w:styleId="GridTable7Colorful-Accent3">
    <w:name w:val="Grid Table 7 Colorful Accent 3"/>
    <w:basedOn w:val="TableNormal"/>
    <w:uiPriority w:val="52"/>
    <w:rsid w:val="00785E4C"/>
    <w:rPr>
      <w:color w:val="C26F08" w:themeColor="accent3" w:themeShade="BF"/>
    </w:rPr>
    <w:tblPr>
      <w:tblStyleRowBandSize w:val="1"/>
      <w:tblStyleColBandSize w:val="1"/>
      <w:tblBorders>
        <w:top w:val="single" w:color="F9BE75" w:themeColor="accent3" w:themeTint="99" w:sz="4" w:space="0"/>
        <w:left w:val="single" w:color="F9BE75" w:themeColor="accent3" w:themeTint="99" w:sz="4" w:space="0"/>
        <w:bottom w:val="single" w:color="F9BE75" w:themeColor="accent3" w:themeTint="99" w:sz="4" w:space="0"/>
        <w:right w:val="single" w:color="F9BE75" w:themeColor="accent3" w:themeTint="99" w:sz="4" w:space="0"/>
        <w:insideH w:val="single" w:color="F9BE75" w:themeColor="accent3" w:themeTint="99" w:sz="4" w:space="0"/>
        <w:insideV w:val="single" w:color="F9BE75" w:themeColor="accent3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E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E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E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EFFFF" w:themeFill="background1"/>
      </w:tcPr>
    </w:tblStylePr>
    <w:tblStylePr w:type="band1Vert">
      <w:tblPr/>
      <w:tcPr>
        <w:shd w:val="clear" w:color="auto" w:fill="FDE9D1" w:themeFill="accent3" w:themeFillTint="33"/>
      </w:tcPr>
    </w:tblStylePr>
    <w:tblStylePr w:type="band1Horz">
      <w:tblPr/>
      <w:tcPr>
        <w:shd w:val="clear" w:color="auto" w:fill="FDE9D1" w:themeFill="accent3" w:themeFillTint="33"/>
      </w:tcPr>
    </w:tblStylePr>
    <w:tblStylePr w:type="neCell">
      <w:tblPr/>
      <w:tcPr>
        <w:tcBorders>
          <w:bottom w:val="single" w:color="F9BE75" w:themeColor="accent3" w:themeTint="99" w:sz="4" w:space="0"/>
        </w:tcBorders>
      </w:tcPr>
    </w:tblStylePr>
    <w:tblStylePr w:type="nwCell">
      <w:tblPr/>
      <w:tcPr>
        <w:tcBorders>
          <w:bottom w:val="single" w:color="F9BE75" w:themeColor="accent3" w:themeTint="99" w:sz="4" w:space="0"/>
        </w:tcBorders>
      </w:tcPr>
    </w:tblStylePr>
    <w:tblStylePr w:type="seCell">
      <w:tblPr/>
      <w:tcPr>
        <w:tcBorders>
          <w:top w:val="single" w:color="F9BE75" w:themeColor="accent3" w:themeTint="99" w:sz="4" w:space="0"/>
        </w:tcBorders>
      </w:tcPr>
    </w:tblStylePr>
    <w:tblStylePr w:type="swCell">
      <w:tblPr/>
      <w:tcPr>
        <w:tcBorders>
          <w:top w:val="single" w:color="F9BE75" w:themeColor="accent3" w:themeTint="99" w:sz="4" w:space="0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785E4C"/>
    <w:rPr>
      <w:color w:val="008C8E" w:themeColor="accent2" w:themeShade="BF"/>
    </w:rPr>
    <w:tblPr>
      <w:tblStyleRowBandSize w:val="1"/>
      <w:tblStyleColBandSize w:val="1"/>
      <w:tblBorders>
        <w:top w:val="single" w:color="3FFDFF" w:themeColor="accent2" w:themeTint="99" w:sz="4" w:space="0"/>
        <w:left w:val="single" w:color="3FFDFF" w:themeColor="accent2" w:themeTint="99" w:sz="4" w:space="0"/>
        <w:bottom w:val="single" w:color="3FFDFF" w:themeColor="accent2" w:themeTint="99" w:sz="4" w:space="0"/>
        <w:right w:val="single" w:color="3FFDFF" w:themeColor="accent2" w:themeTint="99" w:sz="4" w:space="0"/>
        <w:insideH w:val="single" w:color="3FFDFF" w:themeColor="accent2" w:themeTint="99" w:sz="4" w:space="0"/>
        <w:insideV w:val="single" w:color="3FFDFF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E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E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E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EFFFF" w:themeFill="background1"/>
      </w:tcPr>
    </w:tblStylePr>
    <w:tblStylePr w:type="band1Vert">
      <w:tblPr/>
      <w:tcPr>
        <w:shd w:val="clear" w:color="auto" w:fill="BFFEFF" w:themeFill="accent2" w:themeFillTint="33"/>
      </w:tcPr>
    </w:tblStylePr>
    <w:tblStylePr w:type="band1Horz">
      <w:tblPr/>
      <w:tcPr>
        <w:shd w:val="clear" w:color="auto" w:fill="BFFEFF" w:themeFill="accent2" w:themeFillTint="33"/>
      </w:tcPr>
    </w:tblStylePr>
    <w:tblStylePr w:type="neCell">
      <w:tblPr/>
      <w:tcPr>
        <w:tcBorders>
          <w:bottom w:val="single" w:color="3FFDFF" w:themeColor="accent2" w:themeTint="99" w:sz="4" w:space="0"/>
        </w:tcBorders>
      </w:tcPr>
    </w:tblStylePr>
    <w:tblStylePr w:type="nwCell">
      <w:tblPr/>
      <w:tcPr>
        <w:tcBorders>
          <w:bottom w:val="single" w:color="3FFDFF" w:themeColor="accent2" w:themeTint="99" w:sz="4" w:space="0"/>
        </w:tcBorders>
      </w:tcPr>
    </w:tblStylePr>
    <w:tblStylePr w:type="seCell">
      <w:tblPr/>
      <w:tcPr>
        <w:tcBorders>
          <w:top w:val="single" w:color="3FFDFF" w:themeColor="accent2" w:themeTint="99" w:sz="4" w:space="0"/>
        </w:tcBorders>
      </w:tcPr>
    </w:tblStylePr>
    <w:tblStylePr w:type="swCell">
      <w:tblPr/>
      <w:tcPr>
        <w:tcBorders>
          <w:top w:val="single" w:color="3FFDFF" w:themeColor="accent2" w:themeTint="99" w:sz="4" w:space="0"/>
        </w:tcBorders>
      </w:tcPr>
    </w:tblStylePr>
  </w:style>
  <w:style w:type="table" w:styleId="GridTable6Colorful-Accent2">
    <w:name w:val="Grid Table 6 Colorful Accent 2"/>
    <w:basedOn w:val="TableNormal"/>
    <w:uiPriority w:val="51"/>
    <w:rsid w:val="00785E4C"/>
    <w:rPr>
      <w:color w:val="008C8E" w:themeColor="accent2" w:themeShade="BF"/>
    </w:rPr>
    <w:tblPr>
      <w:tblStyleRowBandSize w:val="1"/>
      <w:tblStyleColBandSize w:val="1"/>
      <w:tblBorders>
        <w:top w:val="single" w:color="3FFDFF" w:themeColor="accent2" w:themeTint="99" w:sz="4" w:space="0"/>
        <w:left w:val="single" w:color="3FFDFF" w:themeColor="accent2" w:themeTint="99" w:sz="4" w:space="0"/>
        <w:bottom w:val="single" w:color="3FFDFF" w:themeColor="accent2" w:themeTint="99" w:sz="4" w:space="0"/>
        <w:right w:val="single" w:color="3FFDFF" w:themeColor="accent2" w:themeTint="99" w:sz="4" w:space="0"/>
        <w:insideH w:val="single" w:color="3FFDFF" w:themeColor="accent2" w:themeTint="99" w:sz="4" w:space="0"/>
        <w:insideV w:val="single" w:color="3FFDFF" w:themeColor="accent2" w:themeTint="99" w:sz="4" w:space="0"/>
      </w:tblBorders>
    </w:tblPr>
    <w:tblStylePr w:type="firstRow">
      <w:rPr>
        <w:b/>
        <w:bCs/>
      </w:rPr>
      <w:tblPr/>
      <w:tcPr>
        <w:tcBorders>
          <w:bottom w:val="single" w:color="3FFDFF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3FFDFF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FEFF" w:themeFill="accent2" w:themeFillTint="33"/>
      </w:tcPr>
    </w:tblStylePr>
    <w:tblStylePr w:type="band1Horz">
      <w:tblPr/>
      <w:tcPr>
        <w:shd w:val="clear" w:color="auto" w:fill="BFFEFF" w:themeFill="accent2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785E4C"/>
    <w:rPr>
      <w:color w:val="573573" w:themeColor="accent1" w:themeShade="BF"/>
    </w:rPr>
    <w:tblPr>
      <w:tblStyleRowBandSize w:val="1"/>
      <w:tblStyleColBandSize w:val="1"/>
      <w:tblBorders>
        <w:top w:val="single" w:color="AC89C9" w:themeColor="accent1" w:themeTint="99" w:sz="4" w:space="0"/>
        <w:left w:val="single" w:color="AC89C9" w:themeColor="accent1" w:themeTint="99" w:sz="4" w:space="0"/>
        <w:bottom w:val="single" w:color="AC89C9" w:themeColor="accent1" w:themeTint="99" w:sz="4" w:space="0"/>
        <w:right w:val="single" w:color="AC89C9" w:themeColor="accent1" w:themeTint="99" w:sz="4" w:space="0"/>
        <w:insideH w:val="single" w:color="AC89C9" w:themeColor="accent1" w:themeTint="99" w:sz="4" w:space="0"/>
        <w:insideV w:val="single" w:color="AC89C9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AC89C9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AC89C9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D7ED" w:themeFill="accent1" w:themeFillTint="33"/>
      </w:tcPr>
    </w:tblStylePr>
    <w:tblStylePr w:type="band1Horz">
      <w:tblPr/>
      <w:tcPr>
        <w:shd w:val="clear" w:color="auto" w:fill="E3D7ED" w:themeFill="accent1" w:themeFillTint="33"/>
      </w:tcPr>
    </w:tblStylePr>
  </w:style>
  <w:style w:type="table" w:styleId="ListTable4-Accent1">
    <w:name w:val="List Table 4 Accent 1"/>
    <w:basedOn w:val="TableNormal"/>
    <w:uiPriority w:val="49"/>
    <w:rsid w:val="00785E4C"/>
    <w:tblPr>
      <w:tblStyleRowBandSize w:val="1"/>
      <w:tblStyleColBandSize w:val="1"/>
      <w:tblBorders>
        <w:top w:val="single" w:color="AC89C9" w:themeColor="accent1" w:themeTint="99" w:sz="4" w:space="0"/>
        <w:left w:val="single" w:color="AC89C9" w:themeColor="accent1" w:themeTint="99" w:sz="4" w:space="0"/>
        <w:bottom w:val="single" w:color="AC89C9" w:themeColor="accent1" w:themeTint="99" w:sz="4" w:space="0"/>
        <w:right w:val="single" w:color="AC89C9" w:themeColor="accent1" w:themeTint="99" w:sz="4" w:space="0"/>
        <w:insideH w:val="single" w:color="AC89C9" w:themeColor="accent1" w:themeTint="99" w:sz="4" w:space="0"/>
      </w:tblBorders>
    </w:tblPr>
    <w:tblStylePr w:type="firstRow">
      <w:rPr>
        <w:b/>
        <w:bCs/>
        <w:color w:val="FEFFFF" w:themeColor="background1"/>
      </w:rPr>
      <w:tblPr/>
      <w:tcPr>
        <w:tcBorders>
          <w:top w:val="single" w:color="75479B" w:themeColor="accent1" w:sz="4" w:space="0"/>
          <w:left w:val="single" w:color="75479B" w:themeColor="accent1" w:sz="4" w:space="0"/>
          <w:bottom w:val="single" w:color="75479B" w:themeColor="accent1" w:sz="4" w:space="0"/>
          <w:right w:val="single" w:color="75479B" w:themeColor="accent1" w:sz="4" w:space="0"/>
          <w:insideH w:val="nil"/>
        </w:tcBorders>
        <w:shd w:val="clear" w:color="auto" w:fill="75479B" w:themeFill="accent1"/>
      </w:tcPr>
    </w:tblStylePr>
    <w:tblStylePr w:type="lastRow">
      <w:rPr>
        <w:b/>
        <w:bCs/>
      </w:rPr>
      <w:tblPr/>
      <w:tcPr>
        <w:tcBorders>
          <w:top w:val="double" w:color="AC89C9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D7ED" w:themeFill="accent1" w:themeFillTint="33"/>
      </w:tcPr>
    </w:tblStylePr>
    <w:tblStylePr w:type="band1Horz">
      <w:tblPr/>
      <w:tcPr>
        <w:shd w:val="clear" w:color="auto" w:fill="E3D7ED" w:themeFill="accent1" w:themeFillTint="33"/>
      </w:tcPr>
    </w:tblStylePr>
  </w:style>
  <w:style w:type="paragraph" w:styleId="Revision">
    <w:name w:val="Revision"/>
    <w:hidden/>
    <w:uiPriority w:val="99"/>
    <w:semiHidden/>
    <w:rsid w:val="0046247A"/>
  </w:style>
  <w:style w:type="character" w:styleId="CommentReference">
    <w:name w:val="annotation reference"/>
    <w:basedOn w:val="DefaultParagraphFont"/>
    <w:uiPriority w:val="99"/>
    <w:semiHidden/>
    <w:unhideWhenUsed/>
    <w:rsid w:val="00BA126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A126F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BA126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A126F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BA126F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735463"/>
    <w:rPr>
      <w:color w:val="00BDBE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73546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F0A31"/>
    <w:rPr>
      <w:color w:val="76479B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12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66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34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194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51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29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420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44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416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19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30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07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03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53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15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47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2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header" Target="header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yperlink" Target="mailto:su-qmsu.reception@qmul.ac.uk" TargetMode="External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yperlink" Target="https://qmulprod.sharepoint.com/sites/QMSUStudentEngagement938/Shared%20Documents/Forms/AllItems.aspx?id=%2Fsites%2FQMSUStudentEngagement938%2FShared%20Documents%2FSTUDENT%20ENGAGEMENT%2F5%2E%20Admin%20and%20governance%2F5%2E%20Complaints%20and%20Strikes%2FStrikes%2FStrike%20Policy%202026%2D27%2Epdf&amp;parent=%2Fsites%2FQMSUStudentEngagement938%2FShared%20Documents%2FSTUDENT%20ENGAGEMENT%2F5%2E%20Admin%20and%20governance%2F5%2E%20Complaints%20and%20Strikes%2FStrikes&amp;p=true&amp;ga=1" TargetMode="External" Id="rId11" /><Relationship Type="http://schemas.openxmlformats.org/officeDocument/2006/relationships/styles" Target="styles.xml" Id="rId5" /><Relationship Type="http://schemas.openxmlformats.org/officeDocument/2006/relationships/footer" Target="footer2.xml" Id="rId15" /><Relationship Type="http://schemas.openxmlformats.org/officeDocument/2006/relationships/hyperlink" Target="https://qmulprod.sharepoint.com/sites/QMSUStudentEngagement938/Shared%20Documents/Forms/AllItems.aspx?id=%2Fsites%2FQMSUStudentEngagement938%2FShared%20Documents%2FSTUDENT%20ENGAGEMENT%2F5%2E%20Admin%20and%20governance%2F1%2E%20External%20Speakers%2F2026%2D27%2FExternal%20Speaker%20Guidance%202026%2Epdf&amp;parent=%2Fsites%2FQMSUStudentEngagement938%2FShared%20Documents%2FSTUDENT%20ENGAGEMENT%2F5%2E%20Admin%20and%20governance%2F1%2E%20External%20Speakers%2F2026%2D27&amp;p=true&amp;ga=1" TargetMode="Externa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oter" Target="footer1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QMSU colours">
      <a:dk1>
        <a:srgbClr val="000000"/>
      </a:dk1>
      <a:lt1>
        <a:srgbClr val="FEFFFF"/>
      </a:lt1>
      <a:dk2>
        <a:srgbClr val="000000"/>
      </a:dk2>
      <a:lt2>
        <a:srgbClr val="FEFFFF"/>
      </a:lt2>
      <a:accent1>
        <a:srgbClr val="75479B"/>
      </a:accent1>
      <a:accent2>
        <a:srgbClr val="00BDBE"/>
      </a:accent2>
      <a:accent3>
        <a:srgbClr val="F5941A"/>
      </a:accent3>
      <a:accent4>
        <a:srgbClr val="EE3D2D"/>
      </a:accent4>
      <a:accent5>
        <a:srgbClr val="FECE00"/>
      </a:accent5>
      <a:accent6>
        <a:srgbClr val="F7C0D9"/>
      </a:accent6>
      <a:hlink>
        <a:srgbClr val="00BDBE"/>
      </a:hlink>
      <a:folHlink>
        <a:srgbClr val="76479B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5efd484-15aa-41a0-83f6-0646502cb6d6" xsi:nil="true"/>
    <lcf76f155ced4ddcb4097134ff3c332f xmlns="45ae7f3d-bcd0-4e4b-af93-f03a9fbb19b5">
      <Terms xmlns="http://schemas.microsoft.com/office/infopath/2007/PartnerControls"/>
    </lcf76f155ced4ddcb4097134ff3c332f>
    <QMULDocumentStatusTaxHTField0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654ADC9F12924A98775CE4A71E31EA" ma:contentTypeVersion="19" ma:contentTypeDescription="Create a new document." ma:contentTypeScope="" ma:versionID="59d2376d692a3c9265e1756eee9b0bea">
  <xsd:schema xmlns:xsd="http://www.w3.org/2001/XMLSchema" xmlns:xs="http://www.w3.org/2001/XMLSchema" xmlns:p="http://schemas.microsoft.com/office/2006/metadata/properties" xmlns:ns1="http://schemas.microsoft.com/sharepoint/v3" xmlns:ns2="45ae7f3d-bcd0-4e4b-af93-f03a9fbb19b5" xmlns:ns3="6649982f-b66b-4072-8006-4697fed55f9d" xmlns:ns4="d5efd484-15aa-41a0-83f6-0646502cb6d6" targetNamespace="http://schemas.microsoft.com/office/2006/metadata/properties" ma:root="true" ma:fieldsID="de41e5c503ae09497c22bbeb390e8b93" ns1:_="" ns2:_="" ns3:_="" ns4:_="">
    <xsd:import namespace="http://schemas.microsoft.com/sharepoint/v3"/>
    <xsd:import namespace="45ae7f3d-bcd0-4e4b-af93-f03a9fbb19b5"/>
    <xsd:import namespace="6649982f-b66b-4072-8006-4697fed55f9d"/>
    <xsd:import namespace="d5efd484-15aa-41a0-83f6-0646502cb6d6"/>
    <xsd:element name="properties">
      <xsd:complexType>
        <xsd:sequence>
          <xsd:element name="documentManagement">
            <xsd:complexType>
              <xsd:all>
                <xsd:element ref="ns1:QMULDocumentStatusTaxHTField0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QMULDocumentStatusTaxHTField0" ma:index="8" nillable="true" ma:displayName="QMULDocumentStatus_0" ma:hidden="true" ma:internalName="QMULDocumentStatusTaxHTField0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ae7f3d-bcd0-4e4b-af93-f03a9fbb19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9c18f9b8-5ae4-4f0b-a238-a922c51e2d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49982f-b66b-4072-8006-4697fed55f9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efd484-15aa-41a0-83f6-0646502cb6d6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5098066c-83b2-4fed-aa62-dfb5a8e3b2af}" ma:internalName="TaxCatchAll" ma:showField="CatchAllData" ma:web="6649982f-b66b-4072-8006-4697fed55f9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AD2B81C-D6B0-46FE-BA76-158E234580FA}">
  <ds:schemaRefs>
    <ds:schemaRef ds:uri="http://schemas.microsoft.com/office/2006/metadata/properties"/>
    <ds:schemaRef ds:uri="http://schemas.microsoft.com/office/infopath/2007/PartnerControls"/>
    <ds:schemaRef ds:uri="d5efd484-15aa-41a0-83f6-0646502cb6d6"/>
    <ds:schemaRef ds:uri="45ae7f3d-bcd0-4e4b-af93-f03a9fbb19b5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89878BB3-8D38-4974-98A9-3A9A374C95C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DCFEF00-FA27-4DDD-B779-DCB9CDBF9A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5ae7f3d-bcd0-4e4b-af93-f03a9fbb19b5"/>
    <ds:schemaRef ds:uri="6649982f-b66b-4072-8006-4697fed55f9d"/>
    <ds:schemaRef ds:uri="d5efd484-15aa-41a0-83f6-0646502cb6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569df091-b013-40e3-86ee-bd9cb9e25814}" enabled="0" method="" siteId="{569df091-b013-40e3-86ee-bd9cb9e25814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Queen Mary University of London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Jenny Upstone</dc:creator>
  <keywords/>
  <dc:description/>
  <lastModifiedBy>Tracey Smith</lastModifiedBy>
  <revision>18</revision>
  <lastPrinted>2018-03-21T19:58:00.0000000Z</lastPrinted>
  <dcterms:created xsi:type="dcterms:W3CDTF">2026-09-21T14:53:00.0000000Z</dcterms:created>
  <dcterms:modified xsi:type="dcterms:W3CDTF">2026-09-23T10:35:17.5444515Z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0x01010005654ADC9F12924A98775CE4A71E31EA</vt:lpwstr>
  </property>
  <property fmtid="{D5CDD505-2E9C-101B-9397-08002B2CF9AE}" pid="3" name="MediaServiceImageTags">
    <vt:lpwstr/>
  </property>
</Properties>
</file>